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8" w:space="1" w:color="000000"/>
        </w:pBdr>
        <w:jc w:val="center"/>
        <w:rPr>
          <w:b/>
          <w:bCs/>
          <w:sz w:val="40"/>
          <w:szCs w:val="40"/>
        </w:rPr>
      </w:pPr>
      <w:r>
        <w:rPr>
          <w:b/>
          <w:bCs/>
          <w:sz w:val="36"/>
          <w:szCs w:val="36"/>
        </w:rPr>
        <w:t>ETS ENVIRONMENTAL NOTICE</w:t>
      </w:r>
    </w:p>
    <w:p>
      <w:pPr>
        <w:pStyle w:val="Normal"/>
        <w:jc w:val="both"/>
        <w:rPr/>
      </w:pPr>
      <w:r>
        <w:rPr>
          <w:b/>
          <w:bCs/>
          <w:sz w:val="32"/>
          <w:szCs w:val="32"/>
        </w:rPr>
        <w:t xml:space="preserve">Subject:  </w:t>
      </w:r>
      <w:r>
        <w:rPr>
          <w:sz w:val="32"/>
          <w:szCs w:val="32"/>
        </w:rPr>
        <w:t>Texas Reporting Rules for Air Emissions</w:t>
      </w:r>
    </w:p>
    <w:p>
      <w:pPr>
        <w:pStyle w:val="Normal"/>
        <w:jc w:val="both"/>
        <w:rPr>
          <w:sz w:val="32"/>
          <w:szCs w:val="32"/>
        </w:rPr>
      </w:pPr>
      <w:r>
        <w:rPr>
          <w:b/>
          <w:bCs/>
          <w:sz w:val="32"/>
          <w:szCs w:val="32"/>
        </w:rPr>
        <w:t xml:space="preserve">Today’s Date: </w:t>
      </w:r>
      <w:r>
        <w:rPr>
          <w:sz w:val="32"/>
          <w:szCs w:val="32"/>
        </w:rPr>
        <w:fldChar w:fldCharType="begin"/>
      </w:r>
      <w:r>
        <w:rPr>
          <w:sz w:val="32"/>
          <w:szCs w:val="32"/>
        </w:rPr>
        <w:instrText xml:space="preserve"> DATE \@"MMMM\ d', 'yyyy" </w:instrText>
      </w:r>
      <w:r>
        <w:rPr>
          <w:sz w:val="32"/>
          <w:szCs w:val="32"/>
        </w:rPr>
        <w:fldChar w:fldCharType="separate"/>
      </w:r>
      <w:r>
        <w:rPr>
          <w:sz w:val="32"/>
          <w:szCs w:val="32"/>
        </w:rPr>
        <w:t>September 28, 2025</w:t>
      </w:r>
      <w:r>
        <w:rPr>
          <w:sz w:val="32"/>
          <w:szCs w:val="32"/>
        </w:rPr>
        <w:fldChar w:fldCharType="end"/>
      </w:r>
    </w:p>
    <w:p>
      <w:pPr>
        <w:pStyle w:val="Normal"/>
        <w:jc w:val="both"/>
        <w:rPr/>
      </w:pPr>
      <w:r>
        <w:rPr>
          <w:b/>
          <w:bCs/>
          <w:sz w:val="32"/>
          <w:szCs w:val="32"/>
        </w:rPr>
        <w:t xml:space="preserve">Reference:  </w:t>
      </w:r>
      <w:r>
        <w:rPr>
          <w:sz w:val="32"/>
          <w:szCs w:val="32"/>
        </w:rPr>
        <w:t>July 14, 2000 Texas Register; 25 Tx. Reg. 6727</w:t>
      </w:r>
    </w:p>
    <w:p>
      <w:pPr>
        <w:pStyle w:val="Normal"/>
        <w:pBdr>
          <w:bottom w:val="single" w:sz="24" w:space="1" w:color="000000"/>
        </w:pBdr>
        <w:jc w:val="both"/>
        <w:rPr/>
      </w:pPr>
      <w:r>
        <w:rPr>
          <w:b/>
          <w:bCs/>
          <w:sz w:val="32"/>
          <w:szCs w:val="32"/>
        </w:rPr>
        <w:t xml:space="preserve">Status:  </w:t>
      </w:r>
      <w:r>
        <w:rPr>
          <w:sz w:val="32"/>
          <w:szCs w:val="32"/>
        </w:rPr>
        <w:t>Final Regulations</w:t>
        <w:tab/>
        <w:tab/>
      </w:r>
      <w:r>
        <w:rPr>
          <w:b/>
          <w:bCs/>
          <w:sz w:val="32"/>
          <w:szCs w:val="32"/>
        </w:rPr>
        <w:t>Effective Date:</w:t>
      </w:r>
      <w:r>
        <w:rPr>
          <w:sz w:val="32"/>
          <w:szCs w:val="32"/>
        </w:rPr>
        <w:t xml:space="preserve">  July 23, 2000</w:t>
      </w:r>
    </w:p>
    <w:p>
      <w:pPr>
        <w:pStyle w:val="Normal"/>
        <w:jc w:val="both"/>
        <w:rPr>
          <w:b/>
          <w:bCs/>
          <w:sz w:val="16"/>
          <w:szCs w:val="16"/>
        </w:rPr>
      </w:pPr>
      <w:r>
        <w:rPr>
          <w:b/>
          <w:bCs/>
          <w:sz w:val="16"/>
          <w:szCs w:val="16"/>
        </w:rPr>
      </w:r>
    </w:p>
    <w:p>
      <w:pPr>
        <w:pStyle w:val="Normal"/>
        <w:jc w:val="both"/>
        <w:rPr/>
      </w:pPr>
      <w:r>
        <w:rPr>
          <w:b/>
          <w:bCs/>
          <w:sz w:val="28"/>
          <w:szCs w:val="28"/>
          <w:u w:val="single"/>
        </w:rPr>
        <w:t>Summary</w:t>
      </w:r>
      <w:r>
        <w:rPr>
          <w:b/>
          <w:bCs/>
          <w:sz w:val="28"/>
          <w:szCs w:val="28"/>
        </w:rPr>
        <w:t>:</w:t>
      </w:r>
      <w:r>
        <w:rPr>
          <w:b/>
          <w:bCs/>
          <w:sz w:val="36"/>
          <w:szCs w:val="36"/>
        </w:rPr>
        <w:t xml:space="preserve"> </w:t>
      </w:r>
      <w:r>
        <w:rPr>
          <w:sz w:val="24"/>
          <w:szCs w:val="24"/>
        </w:rPr>
        <w:t>The Texas Natural Resource Conservation Commission (TNRCC) has revised the regulations regarding upset and maintenance notifications for air emissions.</w:t>
      </w:r>
      <w:r>
        <w:rPr>
          <w:b/>
          <w:bCs/>
          <w:sz w:val="24"/>
          <w:szCs w:val="24"/>
        </w:rPr>
        <w:t xml:space="preserve"> </w:t>
      </w:r>
      <w:r>
        <w:rPr>
          <w:sz w:val="24"/>
          <w:szCs w:val="24"/>
        </w:rPr>
        <w:t>An Environmental Notice was distributed previously for the upset and maintenance regulations that were promulgated in 1997. Changes from the 1997 notice are</w:t>
      </w:r>
      <w:r>
        <w:rPr>
          <w:b/>
          <w:bCs/>
          <w:sz w:val="24"/>
          <w:szCs w:val="24"/>
        </w:rPr>
        <w:t xml:space="preserve"> bolded.</w:t>
      </w:r>
      <w:r>
        <w:rPr>
          <w:sz w:val="24"/>
          <w:szCs w:val="24"/>
        </w:rPr>
        <w:t xml:space="preserve"> These regulations require the reporting to the TNRCC regional office of all “unauthorized” upset, maintenance, startup and shutdown air emissions that exceed, over a 24-hour period, the following:</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Federal CERCLA Reportable Quantities (RQ) (listed in 40 CFR §302, Table 302.4);</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Federal EPCRA RQ (listed in 40 CFR §355, Appendix A);</w:t>
      </w:r>
    </w:p>
    <w:p>
      <w:pPr>
        <w:pStyle w:val="Normal"/>
        <w:numPr>
          <w:ilvl w:val="0"/>
          <w:numId w:val="1"/>
        </w:numPr>
        <w:tabs>
          <w:tab w:val="clear" w:pos="720"/>
          <w:tab w:val="left" w:pos="0" w:leader="none"/>
        </w:tabs>
        <w:spacing w:before="120" w:after="0"/>
        <w:ind w:hanging="571" w:start="571" w:end="0"/>
        <w:jc w:val="both"/>
        <w:rPr/>
      </w:pPr>
      <w:r>
        <w:rPr>
          <w:sz w:val="24"/>
          <w:szCs w:val="24"/>
        </w:rPr>
        <w:t xml:space="preserve">5,000 pounds of compounds such as carbon monoxide (CO), butane, pentane, propane, natural gas </w:t>
      </w:r>
      <w:r>
        <w:rPr>
          <w:b/>
          <w:bCs/>
          <w:sz w:val="24"/>
          <w:szCs w:val="24"/>
        </w:rPr>
        <w:t>(excluding methane and ethane)</w:t>
      </w:r>
      <w:r>
        <w:rPr>
          <w:sz w:val="24"/>
          <w:szCs w:val="24"/>
        </w:rPr>
        <w:t xml:space="preserve">; </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100 pounds of hydrogen sulfide and mercaptans associated with natural gas; or</w:t>
      </w:r>
    </w:p>
    <w:p>
      <w:pPr>
        <w:pStyle w:val="Normal"/>
        <w:numPr>
          <w:ilvl w:val="0"/>
          <w:numId w:val="1"/>
        </w:numPr>
        <w:tabs>
          <w:tab w:val="clear" w:pos="720"/>
          <w:tab w:val="left" w:pos="0" w:leader="none"/>
        </w:tabs>
        <w:spacing w:before="120" w:after="0"/>
        <w:ind w:hanging="571" w:start="571" w:end="0"/>
        <w:jc w:val="both"/>
        <w:rPr>
          <w:sz w:val="24"/>
          <w:szCs w:val="24"/>
        </w:rPr>
      </w:pPr>
      <w:r>
        <w:rPr>
          <w:sz w:val="24"/>
          <w:szCs w:val="24"/>
        </w:rPr>
        <w:t>100 pounds of compounds that are not listed.</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sz w:val="24"/>
          <w:szCs w:val="24"/>
        </w:rPr>
        <w:t>“</w:t>
      </w:r>
      <w:r>
        <w:rPr>
          <w:sz w:val="24"/>
          <w:szCs w:val="24"/>
        </w:rPr>
        <w:t xml:space="preserve">Unauthorized” air emissions are emissions that are not authorized by air permits, standard exemptions or by their “grandfathered” (i.e. pre-date the Texas Clean Air Act which was effective in September, 1971) status. The definition of unauthorized emissions excludes carbon dioxide (CO2), water, nitrogen, methane (but not natural gas), ethane, hydrogen, and oxygen. </w:t>
      </w:r>
      <w:r>
        <w:rPr>
          <w:b/>
          <w:bCs/>
          <w:sz w:val="24"/>
          <w:szCs w:val="24"/>
        </w:rPr>
        <w:t>However TNRCC has indicated that when calculating the RQ for natural gas as a mixture, nitrogen and CO2 must be included.</w:t>
      </w:r>
    </w:p>
    <w:p>
      <w:pPr>
        <w:pStyle w:val="Normal"/>
        <w:numPr>
          <w:ilvl w:val="0"/>
          <w:numId w:val="0"/>
        </w:numPr>
        <w:spacing w:before="120" w:after="0"/>
        <w:ind w:hanging="0" w:start="0"/>
        <w:jc w:val="both"/>
        <w:rPr/>
      </w:pPr>
      <w:r>
        <w:rPr>
          <w:sz w:val="24"/>
          <w:szCs w:val="24"/>
        </w:rPr>
        <w:t xml:space="preserve">Personnel are required to report upset emissions that exceed the RQ as soon as practicable, but not later than 24 hours after the discovery of the upset. Maintenance, startup and shutdown emissions that are anticipated to exceed the RQ must be reported 10 days in advance. RECORDS OF </w:t>
      </w:r>
      <w:r>
        <w:rPr>
          <w:sz w:val="24"/>
          <w:szCs w:val="24"/>
          <w:u w:val="single"/>
        </w:rPr>
        <w:t>ANY</w:t>
      </w:r>
      <w:r>
        <w:rPr>
          <w:sz w:val="24"/>
          <w:szCs w:val="24"/>
        </w:rPr>
        <w:t xml:space="preserve"> UNAUTHORIZED AIR EMISSION, REPORTABLE OR NON-REPORTABLE, MUST BE KEPT AT OR NEAR THE SITE.</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b/>
          <w:bCs/>
          <w:sz w:val="28"/>
          <w:szCs w:val="28"/>
          <w:u w:val="single"/>
        </w:rPr>
        <w:t>Impact</w:t>
      </w:r>
      <w:r>
        <w:rPr>
          <w:b/>
          <w:bCs/>
          <w:sz w:val="28"/>
          <w:szCs w:val="28"/>
        </w:rPr>
        <w:t>:</w:t>
      </w:r>
      <w:r>
        <w:rPr>
          <w:sz w:val="28"/>
          <w:szCs w:val="28"/>
        </w:rPr>
        <w:t xml:space="preserve"> </w:t>
      </w:r>
      <w:r>
        <w:rPr>
          <w:b/>
          <w:bCs/>
          <w:sz w:val="24"/>
          <w:szCs w:val="24"/>
        </w:rPr>
        <w:t>These revisions will reduce the reporting of natural gas releases because methane and ethane are excluded when calculating the RQ. However, there will be more paperwork involved with the reporting and recording of exceedances, and it will be more difficult to justify recurring exceedances to TNRCC. TNRCC has started inspecting companies solely for upset and maintenance rule compliance based on companies reporting too many or too few exceedances. The agency has indicated that using “operator error” repeatedly as a reason for upsets is not acceptable.</w:t>
      </w:r>
    </w:p>
    <w:p>
      <w:pPr>
        <w:pStyle w:val="Normal"/>
        <w:numPr>
          <w:ilvl w:val="0"/>
          <w:numId w:val="0"/>
        </w:numPr>
        <w:ind w:hanging="0" w:start="0"/>
        <w:jc w:val="both"/>
        <w:rPr>
          <w:sz w:val="24"/>
          <w:szCs w:val="24"/>
        </w:rPr>
      </w:pPr>
      <w:r>
        <w:rPr>
          <w:sz w:val="24"/>
          <w:szCs w:val="24"/>
        </w:rPr>
      </w:r>
    </w:p>
    <w:p>
      <w:pPr>
        <w:pStyle w:val="Normal"/>
        <w:numPr>
          <w:ilvl w:val="0"/>
          <w:numId w:val="0"/>
        </w:numPr>
        <w:ind w:hanging="0" w:start="0"/>
        <w:jc w:val="both"/>
        <w:rPr>
          <w:sz w:val="24"/>
          <w:szCs w:val="24"/>
        </w:rPr>
      </w:pPr>
      <w:r>
        <w:rPr>
          <w:b/>
          <w:bCs/>
          <w:sz w:val="28"/>
          <w:szCs w:val="28"/>
          <w:u w:val="single"/>
        </w:rPr>
        <w:t>Recommended Actions</w:t>
      </w:r>
      <w:r>
        <w:rPr>
          <w:b/>
          <w:bCs/>
          <w:sz w:val="28"/>
          <w:szCs w:val="28"/>
        </w:rPr>
        <w:t>:</w:t>
      </w:r>
      <w:r>
        <w:rPr>
          <w:b/>
          <w:bCs/>
          <w:sz w:val="24"/>
          <w:szCs w:val="24"/>
        </w:rPr>
        <w:t xml:space="preserve"> Environmental personnel should ensure that the guidance and record keeping system for field personnel regarding these rules have been updated. The Texas Section of the Emergency Response and Spill Reporting Procedures Guide should be revised to include these revisions.</w:t>
      </w:r>
    </w:p>
    <w:p>
      <w:pPr>
        <w:pStyle w:val="Normal"/>
        <w:numPr>
          <w:ilvl w:val="0"/>
          <w:numId w:val="0"/>
        </w:numPr>
        <w:spacing w:before="120" w:after="0"/>
        <w:ind w:hanging="0" w:start="0"/>
        <w:jc w:val="both"/>
        <w:rPr>
          <w:sz w:val="24"/>
          <w:szCs w:val="24"/>
        </w:rPr>
      </w:pPr>
      <w:r>
        <w:rPr>
          <w:b/>
          <w:bCs/>
          <w:sz w:val="28"/>
          <w:szCs w:val="28"/>
          <w:u w:val="single"/>
        </w:rPr>
        <w:t>General</w:t>
      </w:r>
      <w:r>
        <w:rPr>
          <w:sz w:val="36"/>
          <w:szCs w:val="36"/>
        </w:rPr>
        <w:t>:</w:t>
      </w:r>
    </w:p>
    <w:p>
      <w:pPr>
        <w:pStyle w:val="BodyText"/>
        <w:numPr>
          <w:ilvl w:val="0"/>
          <w:numId w:val="0"/>
        </w:numPr>
        <w:ind w:hanging="0" w:start="0"/>
        <w:rPr/>
      </w:pPr>
      <w:r>
        <w:rPr/>
        <w:t xml:space="preserve">As discussed above, “unauthorized” upset, maintenance, startup and shutdown air emissions are reported to the TNRCC regional office if they exceed, over a 24-hour period, the RQ. Keep in mind that many activities are authorized in Texas under </w:t>
      </w:r>
      <w:r>
        <w:rPr>
          <w:b/>
          <w:bCs/>
        </w:rPr>
        <w:t>Permits by Rule</w:t>
      </w:r>
      <w:r>
        <w:rPr/>
        <w:t>. For gas pipelines, the Permit by Rule for “Metering, Purging, and Maintenance of Pipelines: (formerly Standard Exemption Number 100) authorizes the venting of sweetened natural gas due to pipeline (including compressor station) maintenance activities in most instances.</w:t>
      </w:r>
    </w:p>
    <w:p>
      <w:pPr>
        <w:pStyle w:val="Normal"/>
        <w:numPr>
          <w:ilvl w:val="0"/>
          <w:numId w:val="0"/>
        </w:numPr>
        <w:spacing w:before="120" w:after="0"/>
        <w:ind w:hanging="0" w:start="0"/>
        <w:rPr>
          <w:sz w:val="24"/>
          <w:szCs w:val="24"/>
        </w:rPr>
      </w:pPr>
      <w:r>
        <w:rPr>
          <w:b/>
          <w:bCs/>
          <w:sz w:val="28"/>
          <w:szCs w:val="28"/>
          <w:u w:val="single"/>
        </w:rPr>
        <w:t>Reporting</w:t>
      </w:r>
      <w:r>
        <w:rPr>
          <w:sz w:val="28"/>
          <w:szCs w:val="28"/>
        </w:rPr>
        <w:t>:</w:t>
      </w:r>
    </w:p>
    <w:p>
      <w:pPr>
        <w:pStyle w:val="Normal"/>
        <w:numPr>
          <w:ilvl w:val="0"/>
          <w:numId w:val="0"/>
        </w:numPr>
        <w:spacing w:before="120" w:after="0"/>
        <w:ind w:hanging="0" w:start="0"/>
        <w:rPr/>
      </w:pPr>
      <w:r>
        <w:rPr>
          <w:sz w:val="24"/>
          <w:szCs w:val="24"/>
        </w:rPr>
        <w:t xml:space="preserve">The reporting of </w:t>
      </w:r>
      <w:r>
        <w:rPr>
          <w:sz w:val="24"/>
          <w:szCs w:val="24"/>
          <w:u w:val="single"/>
        </w:rPr>
        <w:t>upsets</w:t>
      </w:r>
      <w:r>
        <w:rPr>
          <w:sz w:val="24"/>
          <w:szCs w:val="24"/>
        </w:rPr>
        <w:t xml:space="preserve"> to the regional TNRCC office and local air pollution control agencies is required as soon as practicable, but not later than 24 hours after the discovery of the upset. In the past, TNRCC has viewed the reporting of significant releases many hours after they are discovered as being unacceptable.</w:t>
      </w:r>
    </w:p>
    <w:p>
      <w:pPr>
        <w:pStyle w:val="Normal"/>
        <w:numPr>
          <w:ilvl w:val="0"/>
          <w:numId w:val="0"/>
        </w:numPr>
        <w:spacing w:before="120" w:after="0"/>
        <w:ind w:hanging="0" w:start="0"/>
        <w:rPr/>
      </w:pPr>
      <w:r>
        <w:rPr>
          <w:sz w:val="24"/>
          <w:szCs w:val="24"/>
        </w:rPr>
        <w:t xml:space="preserve">The reporting of </w:t>
      </w:r>
      <w:r>
        <w:rPr>
          <w:sz w:val="24"/>
          <w:szCs w:val="24"/>
          <w:u w:val="single"/>
        </w:rPr>
        <w:t>maintenance, startup, or shutdown activities</w:t>
      </w:r>
      <w:r>
        <w:rPr>
          <w:sz w:val="24"/>
          <w:szCs w:val="24"/>
        </w:rPr>
        <w:t xml:space="preserve"> to the regional office that are anticipated to exceed the RQ should be done 10 days prior to the expected exceedance. If an unanticipated emission that exceeds the RQ occurs during these activities, the exceedance should be treated as an upset. </w:t>
      </w:r>
      <w:r>
        <w:rPr>
          <w:b/>
          <w:bCs/>
          <w:sz w:val="24"/>
          <w:szCs w:val="24"/>
        </w:rPr>
        <w:t xml:space="preserve">If the actual emissions exceed the anticipated emissions that were reported, the exceedance should be treated an as upset. </w:t>
      </w:r>
    </w:p>
    <w:p>
      <w:pPr>
        <w:pStyle w:val="Normal"/>
        <w:numPr>
          <w:ilvl w:val="0"/>
          <w:numId w:val="0"/>
        </w:numPr>
        <w:spacing w:before="120" w:after="0"/>
        <w:ind w:hanging="0" w:start="0"/>
        <w:jc w:val="both"/>
        <w:rPr>
          <w:sz w:val="24"/>
          <w:szCs w:val="24"/>
        </w:rPr>
      </w:pPr>
      <w:r>
        <w:rPr>
          <w:sz w:val="24"/>
          <w:szCs w:val="24"/>
        </w:rPr>
        <w:t>Spills that are reported under Texas spill rules don’t need to be reported under this rule, but records of the air emissions associated with spills must be kept.</w:t>
      </w:r>
    </w:p>
    <w:p>
      <w:pPr>
        <w:pStyle w:val="Normal"/>
        <w:numPr>
          <w:ilvl w:val="0"/>
          <w:numId w:val="0"/>
        </w:numPr>
        <w:spacing w:before="120" w:after="0"/>
        <w:ind w:hanging="0" w:start="0"/>
        <w:rPr>
          <w:sz w:val="24"/>
          <w:szCs w:val="24"/>
        </w:rPr>
      </w:pPr>
      <w:r>
        <w:rPr>
          <w:sz w:val="24"/>
          <w:szCs w:val="24"/>
        </w:rPr>
        <w:t xml:space="preserve">There is flexibility in the method that can be used to report upsets and maintenance activities, and the regional offices should be contacted to determine the method that is preferred. Information that must be reported is: </w:t>
      </w:r>
    </w:p>
    <w:p>
      <w:pPr>
        <w:pStyle w:val="Normal"/>
        <w:numPr>
          <w:ilvl w:val="0"/>
          <w:numId w:val="1"/>
        </w:numPr>
        <w:tabs>
          <w:tab w:val="clear" w:pos="720"/>
          <w:tab w:val="left" w:pos="0" w:leader="none"/>
        </w:tabs>
        <w:spacing w:before="120" w:after="0"/>
        <w:ind w:hanging="566" w:start="566" w:end="0"/>
        <w:rPr>
          <w:b/>
          <w:bCs/>
          <w:sz w:val="24"/>
          <w:szCs w:val="24"/>
        </w:rPr>
      </w:pPr>
      <w:r>
        <w:rPr>
          <w:b/>
          <w:bCs/>
          <w:sz w:val="24"/>
          <w:szCs w:val="24"/>
        </w:rPr>
        <w:t>The cause of the upset;</w:t>
      </w:r>
    </w:p>
    <w:p>
      <w:pPr>
        <w:pStyle w:val="Normal"/>
        <w:numPr>
          <w:ilvl w:val="0"/>
          <w:numId w:val="1"/>
        </w:numPr>
        <w:tabs>
          <w:tab w:val="clear" w:pos="720"/>
          <w:tab w:val="left" w:pos="0" w:leader="none"/>
        </w:tabs>
        <w:spacing w:before="120" w:after="0"/>
        <w:ind w:hanging="566" w:start="566" w:end="0"/>
        <w:rPr>
          <w:b/>
          <w:bCs/>
          <w:sz w:val="24"/>
          <w:szCs w:val="24"/>
        </w:rPr>
      </w:pPr>
      <w:r>
        <w:rPr>
          <w:b/>
          <w:bCs/>
          <w:sz w:val="24"/>
          <w:szCs w:val="24"/>
        </w:rPr>
        <w:t>The activity and reason for maintenance/startups/shutdowns;</w:t>
      </w:r>
    </w:p>
    <w:p>
      <w:pPr>
        <w:pStyle w:val="Normal"/>
        <w:numPr>
          <w:ilvl w:val="0"/>
          <w:numId w:val="1"/>
        </w:numPr>
        <w:tabs>
          <w:tab w:val="clear" w:pos="720"/>
          <w:tab w:val="left" w:pos="0" w:leader="none"/>
        </w:tabs>
        <w:spacing w:before="120" w:after="0"/>
        <w:ind w:hanging="566" w:start="566" w:end="0"/>
        <w:rPr>
          <w:sz w:val="24"/>
          <w:szCs w:val="24"/>
        </w:rPr>
      </w:pPr>
      <w:r>
        <w:rPr>
          <w:sz w:val="24"/>
          <w:szCs w:val="24"/>
        </w:rPr>
        <w:t xml:space="preserve">The processes and equipment involved; </w:t>
      </w:r>
    </w:p>
    <w:p>
      <w:pPr>
        <w:pStyle w:val="Normal"/>
        <w:numPr>
          <w:ilvl w:val="0"/>
          <w:numId w:val="1"/>
        </w:numPr>
        <w:tabs>
          <w:tab w:val="clear" w:pos="720"/>
          <w:tab w:val="left" w:pos="0" w:leader="none"/>
        </w:tabs>
        <w:spacing w:before="120" w:after="0"/>
        <w:ind w:hanging="566" w:start="566" w:end="0"/>
        <w:rPr>
          <w:sz w:val="24"/>
          <w:szCs w:val="24"/>
        </w:rPr>
      </w:pPr>
      <w:r>
        <w:rPr>
          <w:sz w:val="24"/>
          <w:szCs w:val="24"/>
        </w:rPr>
        <w:t xml:space="preserve">The date and time; </w:t>
      </w:r>
    </w:p>
    <w:p>
      <w:pPr>
        <w:pStyle w:val="Normal"/>
        <w:numPr>
          <w:ilvl w:val="0"/>
          <w:numId w:val="1"/>
        </w:numPr>
        <w:tabs>
          <w:tab w:val="clear" w:pos="720"/>
          <w:tab w:val="left" w:pos="0" w:leader="none"/>
        </w:tabs>
        <w:spacing w:before="120" w:after="0"/>
        <w:ind w:hanging="566" w:start="566" w:end="0"/>
        <w:rPr>
          <w:sz w:val="24"/>
          <w:szCs w:val="24"/>
        </w:rPr>
      </w:pPr>
      <w:r>
        <w:rPr>
          <w:sz w:val="24"/>
          <w:szCs w:val="24"/>
        </w:rPr>
        <w:t xml:space="preserve">The duration (of upsets) or expected duration (for maintenance, startups and shutdowns); </w:t>
      </w:r>
    </w:p>
    <w:p>
      <w:pPr>
        <w:pStyle w:val="Normal"/>
        <w:numPr>
          <w:ilvl w:val="0"/>
          <w:numId w:val="1"/>
        </w:numPr>
        <w:tabs>
          <w:tab w:val="clear" w:pos="720"/>
          <w:tab w:val="left" w:pos="0" w:leader="none"/>
        </w:tabs>
        <w:spacing w:before="120" w:after="0"/>
        <w:ind w:hanging="566" w:start="566" w:end="0"/>
        <w:rPr/>
      </w:pPr>
      <w:r>
        <w:rPr>
          <w:sz w:val="24"/>
          <w:szCs w:val="24"/>
        </w:rPr>
        <w:t>The estimated quantities and a description of the compounds or mixtures when the RQ is exceeded.</w:t>
      </w:r>
      <w:r>
        <w:rPr>
          <w:b/>
          <w:bCs/>
          <w:sz w:val="24"/>
          <w:szCs w:val="24"/>
        </w:rPr>
        <w:t xml:space="preserve"> All compounds must be listed, not just those that exceed the RQ</w:t>
      </w:r>
      <w:r>
        <w:rPr>
          <w:sz w:val="24"/>
          <w:szCs w:val="24"/>
        </w:rPr>
        <w:t>;</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 xml:space="preserve">For upsets, corrective actions taken or being taken; and </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Actions taken to minimize the emissions.</w:t>
      </w:r>
    </w:p>
    <w:p>
      <w:pPr>
        <w:pStyle w:val="Normal"/>
        <w:numPr>
          <w:ilvl w:val="0"/>
          <w:numId w:val="0"/>
        </w:numPr>
        <w:spacing w:before="120" w:after="0"/>
        <w:ind w:hanging="0" w:start="0"/>
        <w:jc w:val="both"/>
        <w:rPr/>
      </w:pPr>
      <w:r>
        <w:rPr>
          <w:b/>
          <w:bCs/>
          <w:sz w:val="24"/>
          <w:szCs w:val="24"/>
        </w:rPr>
        <w:t>A final report for all reportable exceedances must be submitted to the Regional TNRCC office within two weeks, unless the initial notice contained all the required information and all estimates were accurate.</w:t>
      </w:r>
      <w:r>
        <w:rPr>
          <w:sz w:val="24"/>
          <w:szCs w:val="24"/>
        </w:rPr>
        <w:t xml:space="preserve"> </w:t>
      </w:r>
    </w:p>
    <w:p>
      <w:pPr>
        <w:pStyle w:val="BodyText2"/>
        <w:numPr>
          <w:ilvl w:val="0"/>
          <w:numId w:val="0"/>
        </w:numPr>
        <w:ind w:hanging="0" w:start="0"/>
        <w:rPr/>
      </w:pPr>
      <w:r>
        <w:rPr/>
        <w:t>The rule lists the conditions that exempt upset and maintenance emissions from TNRCC permitting rules. There are now nine conditions that must all be met for upset emissions to be exempt and eight conditions for maintenance, startup and shutdowns to be exempt. The conditions are listed in §101.11 (Demonstrations). One of the conditions that TNRCC is emphasizing in inspections is that an upset is “not part of a recurring pattern indicative of inadequate design, operation or maintenance.”</w:t>
      </w:r>
    </w:p>
    <w:p>
      <w:pPr>
        <w:pStyle w:val="Normal"/>
        <w:numPr>
          <w:ilvl w:val="0"/>
          <w:numId w:val="0"/>
        </w:numPr>
        <w:spacing w:before="120" w:after="0"/>
        <w:ind w:hanging="0" w:start="0"/>
        <w:jc w:val="both"/>
        <w:rPr>
          <w:sz w:val="24"/>
          <w:szCs w:val="24"/>
        </w:rPr>
      </w:pPr>
      <w:r>
        <w:rPr>
          <w:sz w:val="24"/>
          <w:szCs w:val="24"/>
        </w:rPr>
        <w:t>The opacity RQ is an opacity that equals or exceeds the applicable limit by 15% for 6 minutes. For flares with a 5-minute “no visible emissions” limit, exceedances must be reported when the flare smokes for 11-minutes, but records must be maintained of all exceedances of the 5-minute limit.</w:t>
      </w:r>
    </w:p>
    <w:p>
      <w:pPr>
        <w:pStyle w:val="Normal"/>
        <w:numPr>
          <w:ilvl w:val="0"/>
          <w:numId w:val="0"/>
        </w:numPr>
        <w:spacing w:before="120" w:after="0"/>
        <w:ind w:hanging="0" w:start="0"/>
        <w:jc w:val="both"/>
        <w:rPr>
          <w:sz w:val="24"/>
          <w:szCs w:val="24"/>
        </w:rPr>
      </w:pPr>
      <w:r>
        <w:rPr>
          <w:sz w:val="24"/>
          <w:szCs w:val="24"/>
        </w:rPr>
        <w:t>Opacity is the only RQ applicable to boilers or combustion turbines fueled by natural gas, coal, lignite, wood, or fuel oil containing hazardous air pollutants at a concentration of less than 0.02% by weight.</w:t>
      </w:r>
    </w:p>
    <w:p>
      <w:pPr>
        <w:pStyle w:val="Normal"/>
        <w:numPr>
          <w:ilvl w:val="0"/>
          <w:numId w:val="0"/>
        </w:numPr>
        <w:spacing w:before="120" w:after="0"/>
        <w:ind w:hanging="0" w:start="0"/>
        <w:jc w:val="both"/>
        <w:rPr>
          <w:sz w:val="24"/>
          <w:szCs w:val="24"/>
        </w:rPr>
      </w:pPr>
      <w:r>
        <w:rPr>
          <w:sz w:val="24"/>
          <w:szCs w:val="24"/>
        </w:rPr>
        <w:t>The RQ for mixtures (natural gas is considered a mixture) is determined based on four options. If the mixture:</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Is speciated, the RQ is based on the RQ for each of the speciated components;</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Isn’t speciated, the RQ is based on the lowest RQ of any of the components;</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Has components (with RQs) that are less than 0.02% by weight, has components (without RQs) that are less than 2%, the RQ is 5,000 pounds;</w:t>
      </w:r>
    </w:p>
    <w:p>
      <w:pPr>
        <w:pStyle w:val="Normal"/>
        <w:numPr>
          <w:ilvl w:val="0"/>
          <w:numId w:val="1"/>
        </w:numPr>
        <w:tabs>
          <w:tab w:val="clear" w:pos="720"/>
          <w:tab w:val="left" w:pos="0" w:leader="none"/>
        </w:tabs>
        <w:spacing w:before="120" w:after="0"/>
        <w:ind w:hanging="566" w:start="566" w:end="0"/>
        <w:jc w:val="both"/>
        <w:rPr>
          <w:sz w:val="24"/>
          <w:szCs w:val="24"/>
        </w:rPr>
      </w:pPr>
      <w:r>
        <w:rPr>
          <w:sz w:val="24"/>
          <w:szCs w:val="24"/>
        </w:rPr>
        <w:t xml:space="preserve">Is natural gas or crude oil, the RQ is 5,000 pounds, or if associated mercaptans and hydrogen sulfide are present, the RQ for the total of these latter two compounds is 100 pounds. </w:t>
      </w:r>
    </w:p>
    <w:p>
      <w:pPr>
        <w:pStyle w:val="Normal"/>
        <w:spacing w:before="120" w:after="0"/>
        <w:jc w:val="both"/>
        <w:rPr>
          <w:sz w:val="24"/>
          <w:szCs w:val="24"/>
        </w:rPr>
      </w:pPr>
      <w:r>
        <w:rPr>
          <w:b/>
          <w:bCs/>
          <w:sz w:val="28"/>
          <w:szCs w:val="28"/>
          <w:u w:val="single"/>
        </w:rPr>
        <w:t>Record keeping</w:t>
      </w:r>
      <w:r>
        <w:rPr>
          <w:sz w:val="28"/>
          <w:szCs w:val="28"/>
        </w:rPr>
        <w:t>:</w:t>
      </w:r>
    </w:p>
    <w:p>
      <w:pPr>
        <w:pStyle w:val="Normal"/>
        <w:spacing w:before="120" w:after="0"/>
        <w:jc w:val="both"/>
        <w:rPr/>
      </w:pPr>
      <w:r>
        <w:rPr>
          <w:sz w:val="24"/>
          <w:szCs w:val="24"/>
        </w:rPr>
        <w:t xml:space="preserve">There is no de minimis quantity for non-reportable emissions. Records of any unauthorized air emission, reportable or non-reportable, must be created within two weeks and maintained for </w:t>
      </w:r>
      <w:r>
        <w:rPr>
          <w:b/>
          <w:bCs/>
          <w:sz w:val="24"/>
          <w:szCs w:val="24"/>
        </w:rPr>
        <w:t>five years</w:t>
      </w:r>
      <w:r>
        <w:rPr>
          <w:sz w:val="24"/>
          <w:szCs w:val="24"/>
        </w:rPr>
        <w:t>. Records must be kept on-site. If the site is not normally staffed, records can be kept at a manned site located in Texas with responsibility for day-to-day operations. The information that is maintained in records is the same as the information that is reported.</w:t>
      </w:r>
    </w:p>
    <w:p>
      <w:pPr>
        <w:pStyle w:val="Normal"/>
        <w:spacing w:before="120" w:after="0"/>
        <w:jc w:val="both"/>
        <w:rPr>
          <w:sz w:val="24"/>
          <w:szCs w:val="24"/>
        </w:rPr>
      </w:pPr>
      <w:r>
        <w:rPr>
          <w:sz w:val="24"/>
          <w:szCs w:val="24"/>
        </w:rPr>
        <w:t>A summary has been distributed to appropriate management personnel.  If there are any questions concerning this regulation, contact Marc Phillips at (713) 646-7646.</w:t>
      </w:r>
    </w:p>
    <w:p>
      <w:pPr>
        <w:pStyle w:val="Normal"/>
        <w:ind w:hanging="90" w:start="90" w:end="0"/>
        <w:jc w:val="both"/>
        <w:rPr>
          <w:sz w:val="24"/>
          <w:szCs w:val="24"/>
        </w:rPr>
      </w:pPr>
      <w:r>
        <w:rPr>
          <w:sz w:val="24"/>
          <w:szCs w:val="24"/>
        </w:rPr>
      </w:r>
    </w:p>
    <w:p>
      <w:pPr>
        <w:pStyle w:val="Normal"/>
        <w:ind w:hanging="90" w:start="90" w:end="0"/>
        <w:jc w:val="both"/>
        <w:rPr/>
      </w:pPr>
      <w:r>
        <w:rPr/>
        <w:t>Distribution List:</w:t>
      </w:r>
    </w:p>
    <w:tbl>
      <w:tblPr>
        <w:tblW w:w="10350" w:type="dxa"/>
        <w:jc w:val="start"/>
        <w:tblInd w:w="90" w:type="dxa"/>
        <w:tblLayout w:type="fixed"/>
        <w:tblCellMar>
          <w:top w:w="0" w:type="dxa"/>
          <w:start w:w="108" w:type="dxa"/>
          <w:bottom w:w="0" w:type="dxa"/>
          <w:end w:w="108" w:type="dxa"/>
        </w:tblCellMar>
      </w:tblPr>
      <w:tblGrid>
        <w:gridCol w:w="2073"/>
        <w:gridCol w:w="2070"/>
        <w:gridCol w:w="2073"/>
        <w:gridCol w:w="2071"/>
        <w:gridCol w:w="2063"/>
      </w:tblGrid>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Mike Riedel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both"/>
              <w:rPr/>
            </w:pPr>
            <w:r>
              <w:rPr/>
              <w:t>Kyle Purvis</w:t>
            </w:r>
          </w:p>
        </w:tc>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Bill Kendrick</w:t>
            </w:r>
          </w:p>
        </w:tc>
        <w:tc>
          <w:tcPr>
            <w:tcW w:w="2071" w:type="dxa"/>
            <w:tcBorders>
              <w:top w:val="single" w:sz="6" w:space="0" w:color="000000"/>
              <w:start w:val="single" w:sz="6" w:space="0" w:color="000000"/>
              <w:bottom w:val="single" w:sz="6" w:space="0" w:color="000000"/>
              <w:end w:val="single" w:sz="6" w:space="0" w:color="000000"/>
            </w:tcBorders>
          </w:tcPr>
          <w:p>
            <w:pPr>
              <w:pStyle w:val="Normal"/>
              <w:jc w:val="both"/>
              <w:rPr/>
            </w:pPr>
            <w:r>
              <w:rPr/>
              <w:t>Dave Nutt</w:t>
            </w:r>
          </w:p>
        </w:tc>
        <w:tc>
          <w:tcPr>
            <w:tcW w:w="2063" w:type="dxa"/>
            <w:tcBorders>
              <w:top w:val="single" w:sz="6" w:space="0" w:color="000000"/>
              <w:start w:val="single" w:sz="6" w:space="0" w:color="000000"/>
              <w:bottom w:val="single" w:sz="6" w:space="0" w:color="000000"/>
              <w:end w:val="single" w:sz="6" w:space="0" w:color="000000"/>
            </w:tcBorders>
          </w:tcPr>
          <w:p>
            <w:pPr>
              <w:pStyle w:val="Normal"/>
              <w:jc w:val="both"/>
              <w:rPr/>
            </w:pPr>
            <w:r>
              <w:rPr/>
              <w:t>Marilyn June</w:t>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Larry Campbell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both"/>
              <w:rPr/>
            </w:pPr>
            <w:r>
              <w:rPr/>
              <w:t>Ted Ryther</w:t>
            </w:r>
          </w:p>
        </w:tc>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David Ayers</w:t>
            </w:r>
          </w:p>
        </w:tc>
        <w:tc>
          <w:tcPr>
            <w:tcW w:w="2071" w:type="dxa"/>
            <w:tcBorders>
              <w:top w:val="single" w:sz="6" w:space="0" w:color="000000"/>
              <w:start w:val="single" w:sz="6" w:space="0" w:color="000000"/>
              <w:bottom w:val="single" w:sz="6" w:space="0" w:color="000000"/>
              <w:end w:val="single" w:sz="6" w:space="0" w:color="000000"/>
            </w:tcBorders>
          </w:tcPr>
          <w:p>
            <w:pPr>
              <w:pStyle w:val="Normal"/>
              <w:jc w:val="both"/>
              <w:rPr/>
            </w:pPr>
            <w:r>
              <w:rPr/>
              <w:t>Lou Soldano</w:t>
            </w:r>
          </w:p>
        </w:tc>
        <w:tc>
          <w:tcPr>
            <w:tcW w:w="2063" w:type="dxa"/>
            <w:tcBorders>
              <w:top w:val="single" w:sz="6" w:space="0" w:color="000000"/>
              <w:start w:val="single" w:sz="6" w:space="0" w:color="000000"/>
              <w:bottom w:val="single" w:sz="6" w:space="0" w:color="000000"/>
              <w:end w:val="single" w:sz="6" w:space="0" w:color="000000"/>
            </w:tcBorders>
          </w:tcPr>
          <w:p>
            <w:pPr>
              <w:pStyle w:val="Normal"/>
              <w:jc w:val="both"/>
              <w:rPr/>
            </w:pPr>
            <w:r>
              <w:rPr/>
              <w:t>Cheryl Dawson</w:t>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Butch Russell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both"/>
              <w:rPr/>
            </w:pPr>
            <w:r>
              <w:rPr/>
              <w:t>Allan Schoen</w:t>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jc w:val="both"/>
              <w:rPr/>
            </w:pPr>
            <w:r>
              <w:rPr/>
              <w:t>Frank Smith</w:t>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Rick Loveless</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jc w:val="both"/>
              <w:rPr/>
            </w:pPr>
            <w:r>
              <w:rPr/>
              <w:t>John Steenberg</w:t>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71"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063"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bl>
    <w:p>
      <w:pPr>
        <w:pStyle w:val="Normal"/>
        <w:ind w:hanging="90" w:start="90" w:end="0"/>
        <w:jc w:val="both"/>
        <w:rPr/>
      </w:pPr>
      <w:r>
        <w:rPr/>
      </w:r>
    </w:p>
    <w:sectPr>
      <w:type w:val="nextPage"/>
      <w:pgSz w:w="12240" w:h="15840"/>
      <w:pgMar w:left="1008" w:right="1008"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0"/>
      <w:jc w:val="both"/>
    </w:pPr>
    <w:rPr>
      <w:b/>
      <w:bC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2000-11-14T13:44:00Z</dcterms:created>
  <dc:creator>OTS</dc:creator>
  <dc:description/>
  <dc:language>en-CA</dc:language>
  <cp:lastModifiedBy>mphilli</cp:lastModifiedBy>
  <cp:lastPrinted>2000-12-11T16:09:00Z</cp:lastPrinted>
  <dcterms:modified xsi:type="dcterms:W3CDTF">2000-12-11T19:40:00Z</dcterms:modified>
  <cp:revision>17</cp:revision>
  <dc:subject/>
  <dc:title>ENRON OPERATIONS CORP.</dc:title>
</cp:coreProperties>
</file>