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t>TEXAS – STATUS OF REGULATORY PROCEEDINGS IMPLEMENTING RESTRUCTURING</w:t>
      </w:r>
    </w:p>
    <w:p>
      <w:pPr>
        <w:pStyle w:val="Heading"/>
        <w:jc w:val="both"/>
        <w:rPr/>
      </w:pPr>
      <w:r>
        <w:rPr/>
      </w:r>
    </w:p>
    <w:p>
      <w:pPr>
        <w:pStyle w:val="Heading"/>
        <w:numPr>
          <w:ilvl w:val="0"/>
          <w:numId w:val="4"/>
        </w:numPr>
        <w:jc w:val="both"/>
        <w:rPr>
          <w:b w:val="false"/>
        </w:rPr>
      </w:pPr>
      <w:r>
        <w:rPr/>
        <w:t xml:space="preserve">Pilot Project </w:t>
      </w:r>
      <w:r>
        <w:rPr>
          <w:b w:val="false"/>
        </w:rPr>
        <w:t>(retail sales to 5% of each investor-owned utility’s load in Texas) began June 1.  A working group has been meeting weekly under the auspices of the PUC to work out the details</w:t>
      </w:r>
    </w:p>
    <w:p>
      <w:pPr>
        <w:pStyle w:val="Heading"/>
        <w:jc w:val="both"/>
        <w:rPr>
          <w:b w:val="false"/>
        </w:rPr>
      </w:pPr>
      <w:r>
        <w:rPr>
          <w:b w:val="false"/>
        </w:rPr>
      </w:r>
    </w:p>
    <w:p>
      <w:pPr>
        <w:pStyle w:val="Heading"/>
        <w:ind w:start="720" w:end="0"/>
        <w:jc w:val="both"/>
        <w:rPr>
          <w:b w:val="false"/>
        </w:rPr>
      </w:pPr>
      <w:r>
        <w:rPr>
          <w:b w:val="false"/>
        </w:rPr>
        <w:t>The eligible 5% of the industrial and commercial customer classes for most utilities are fully subscribed, and competitive REPs are actively soliciting customers from among their number; residential classes have shown less interest in the pilots</w:t>
      </w:r>
    </w:p>
    <w:p>
      <w:pPr>
        <w:pStyle w:val="Heading"/>
        <w:jc w:val="both"/>
        <w:rPr>
          <w:b w:val="false"/>
        </w:rPr>
      </w:pPr>
      <w:r>
        <w:rPr>
          <w:b w:val="false"/>
        </w:rPr>
      </w:r>
    </w:p>
    <w:p>
      <w:pPr>
        <w:pStyle w:val="Heading"/>
        <w:numPr>
          <w:ilvl w:val="0"/>
          <w:numId w:val="4"/>
        </w:numPr>
        <w:jc w:val="both"/>
        <w:rPr>
          <w:b w:val="false"/>
        </w:rPr>
      </w:pPr>
      <w:r>
        <w:rPr/>
        <w:t>ERCOT</w:t>
      </w:r>
      <w:r>
        <w:rPr>
          <w:b w:val="false"/>
        </w:rPr>
        <w:t xml:space="preserve"> has developed detailed </w:t>
      </w:r>
      <w:r>
        <w:rPr/>
        <w:t>Protocols</w:t>
      </w:r>
      <w:r>
        <w:rPr>
          <w:b w:val="false"/>
        </w:rPr>
        <w:t xml:space="preserve"> for the operation of the transmission grid, to manage congestion, provide ancillary services and to accommodate the customer switching and settlement processes necessary for retail access</w:t>
      </w:r>
    </w:p>
    <w:p>
      <w:pPr>
        <w:pStyle w:val="Heading"/>
        <w:jc w:val="both"/>
        <w:rPr>
          <w:b w:val="false"/>
        </w:rPr>
      </w:pPr>
      <w:r>
        <w:rPr>
          <w:b w:val="false"/>
        </w:rPr>
      </w:r>
    </w:p>
    <w:p>
      <w:pPr>
        <w:pStyle w:val="Heading"/>
        <w:jc w:val="both"/>
        <w:rPr>
          <w:b w:val="false"/>
        </w:rPr>
      </w:pPr>
      <w:r>
        <w:rPr>
          <w:b w:val="false"/>
        </w:rPr>
        <w:tab/>
        <w:t>ERCOT will resume testing of its web portal for the Pilot Projects June 11, 2001</w:t>
      </w:r>
    </w:p>
    <w:p>
      <w:pPr>
        <w:pStyle w:val="Heading"/>
        <w:jc w:val="both"/>
        <w:rPr>
          <w:b w:val="false"/>
        </w:rPr>
      </w:pPr>
      <w:r>
        <w:rPr>
          <w:b w:val="false"/>
        </w:rPr>
      </w:r>
    </w:p>
    <w:p>
      <w:pPr>
        <w:pStyle w:val="Heading"/>
        <w:numPr>
          <w:ilvl w:val="0"/>
          <w:numId w:val="4"/>
        </w:numPr>
        <w:jc w:val="both"/>
        <w:rPr>
          <w:b w:val="false"/>
        </w:rPr>
      </w:pPr>
      <w:r>
        <w:rPr>
          <w:b w:val="false"/>
        </w:rPr>
        <w:t xml:space="preserve">The PUC has adopted </w:t>
      </w:r>
      <w:r>
        <w:rPr/>
        <w:t>RULES</w:t>
      </w:r>
      <w:r>
        <w:rPr>
          <w:b w:val="false"/>
        </w:rPr>
        <w:t xml:space="preserve"> to facilitate the transition from regulation to competition.  They include:</w:t>
      </w:r>
    </w:p>
    <w:p>
      <w:pPr>
        <w:pStyle w:val="Heading"/>
        <w:jc w:val="both"/>
        <w:rPr>
          <w:b w:val="false"/>
        </w:rPr>
      </w:pPr>
      <w:r>
        <w:rPr>
          <w:b w:val="false"/>
        </w:rPr>
      </w:r>
    </w:p>
    <w:p>
      <w:pPr>
        <w:pStyle w:val="Heading"/>
        <w:ind w:start="720" w:end="0"/>
        <w:jc w:val="both"/>
        <w:rPr/>
      </w:pPr>
      <w:r>
        <w:rPr>
          <w:b w:val="false"/>
        </w:rPr>
        <w:t xml:space="preserve">a </w:t>
      </w:r>
      <w:r>
        <w:rPr/>
        <w:t>code of conduct</w:t>
      </w:r>
      <w:r>
        <w:rPr>
          <w:b w:val="false"/>
        </w:rPr>
        <w:t xml:space="preserve"> </w:t>
      </w:r>
      <w:r>
        <w:rPr/>
        <w:t>rule</w:t>
      </w:r>
      <w:r>
        <w:rPr>
          <w:b w:val="false"/>
        </w:rPr>
        <w:t xml:space="preserve"> governing relations among the T&amp;D utilities, their affiliated retail electric providers, and their affiliated power generation companies</w:t>
      </w:r>
    </w:p>
    <w:p>
      <w:pPr>
        <w:pStyle w:val="Heading"/>
        <w:ind w:firstLine="720" w:end="0"/>
        <w:jc w:val="both"/>
        <w:rPr>
          <w:b w:val="false"/>
        </w:rPr>
      </w:pPr>
      <w:r>
        <w:rPr>
          <w:b w:val="false"/>
        </w:rPr>
      </w:r>
    </w:p>
    <w:p>
      <w:pPr>
        <w:pStyle w:val="Heading"/>
        <w:ind w:start="720" w:end="0"/>
        <w:jc w:val="both"/>
        <w:rPr/>
      </w:pPr>
      <w:r>
        <w:rPr>
          <w:b w:val="false"/>
        </w:rPr>
        <w:t xml:space="preserve">a </w:t>
      </w:r>
      <w:r>
        <w:rPr/>
        <w:t>customer protection rule</w:t>
      </w:r>
      <w:r>
        <w:rPr>
          <w:b w:val="false"/>
        </w:rPr>
        <w:t xml:space="preserve"> ensuring that customers have the same protections with respect to competitive retailers as they have always enjoyed from regulated utilities</w:t>
      </w:r>
    </w:p>
    <w:p>
      <w:pPr>
        <w:pStyle w:val="Heading"/>
        <w:ind w:firstLine="720" w:end="0"/>
        <w:jc w:val="both"/>
        <w:rPr>
          <w:b w:val="false"/>
        </w:rPr>
      </w:pPr>
      <w:r>
        <w:rPr>
          <w:b w:val="false"/>
        </w:rPr>
      </w:r>
    </w:p>
    <w:p>
      <w:pPr>
        <w:pStyle w:val="BodyText"/>
        <w:ind w:start="720" w:end="0"/>
        <w:rPr/>
      </w:pPr>
      <w:r>
        <w:rPr>
          <w:u w:val="none"/>
        </w:rPr>
        <w:t xml:space="preserve">a rule requiring the </w:t>
      </w:r>
      <w:r>
        <w:rPr>
          <w:b/>
          <w:u w:val="none"/>
        </w:rPr>
        <w:t>certification of Retail Electric Providers (REPs)</w:t>
      </w:r>
      <w:r>
        <w:rPr>
          <w:u w:val="none"/>
        </w:rPr>
        <w:t xml:space="preserve"> to ensure that only qualified merchants who meet specified technical, financial and managerial requirements are permitted to sell electricity to retail customers in this state</w:t>
      </w:r>
    </w:p>
    <w:p>
      <w:pPr>
        <w:pStyle w:val="Heading1"/>
        <w:ind w:hanging="0" w:start="0"/>
        <w:rPr/>
      </w:pPr>
      <w:r>
        <w:rPr/>
      </w:r>
    </w:p>
    <w:p>
      <w:pPr>
        <w:pStyle w:val="Normal"/>
        <w:ind w:start="720" w:end="0"/>
        <w:rPr/>
      </w:pPr>
      <w:r>
        <w:rPr>
          <w:sz w:val="28"/>
        </w:rPr>
        <w:t xml:space="preserve">a rule ensuring that there is a </w:t>
      </w:r>
      <w:r>
        <w:rPr>
          <w:b/>
          <w:sz w:val="28"/>
        </w:rPr>
        <w:t>Provider of Last Resort</w:t>
      </w:r>
      <w:r>
        <w:rPr>
          <w:sz w:val="28"/>
        </w:rPr>
        <w:t xml:space="preserve"> for every customer who isn’t otherwise served by a REP</w:t>
      </w:r>
    </w:p>
    <w:p>
      <w:pPr>
        <w:pStyle w:val="Normal"/>
        <w:jc w:val="both"/>
        <w:rPr>
          <w:sz w:val="28"/>
        </w:rPr>
      </w:pPr>
      <w:r>
        <w:rPr>
          <w:sz w:val="28"/>
        </w:rPr>
      </w:r>
    </w:p>
    <w:p>
      <w:pPr>
        <w:pStyle w:val="Normal"/>
        <w:ind w:start="720" w:end="0"/>
        <w:jc w:val="both"/>
        <w:rPr/>
      </w:pPr>
      <w:r>
        <w:rPr>
          <w:sz w:val="28"/>
        </w:rPr>
        <w:t xml:space="preserve">a rule establishing a standard tariff with </w:t>
      </w:r>
      <w:r>
        <w:rPr>
          <w:b/>
          <w:sz w:val="28"/>
        </w:rPr>
        <w:t>Terms and Conditions for T&amp;D Access</w:t>
      </w:r>
    </w:p>
    <w:p>
      <w:pPr>
        <w:pStyle w:val="Normal"/>
        <w:numPr>
          <w:ilvl w:val="0"/>
          <w:numId w:val="5"/>
        </w:numPr>
        <w:jc w:val="both"/>
        <w:rPr>
          <w:sz w:val="28"/>
        </w:rPr>
      </w:pPr>
      <w:r>
        <w:rPr>
          <w:sz w:val="28"/>
        </w:rPr>
        <w:t xml:space="preserve">The PUC finalized the cases in which the </w:t>
      </w:r>
      <w:r>
        <w:rPr>
          <w:b/>
          <w:sz w:val="28"/>
        </w:rPr>
        <w:t>unbundled rates for transmission and distribution</w:t>
      </w:r>
      <w:r>
        <w:rPr>
          <w:sz w:val="28"/>
        </w:rPr>
        <w:t xml:space="preserve"> were determined, as well as the amount of </w:t>
      </w:r>
      <w:r>
        <w:rPr>
          <w:b/>
          <w:sz w:val="28"/>
        </w:rPr>
        <w:t>stranded costs</w:t>
      </w:r>
      <w:r>
        <w:rPr>
          <w:sz w:val="28"/>
        </w:rPr>
        <w:t xml:space="preserve"> for each investor-owned utility</w:t>
      </w:r>
    </w:p>
    <w:p>
      <w:pPr>
        <w:pStyle w:val="Normal"/>
        <w:jc w:val="both"/>
        <w:rPr>
          <w:sz w:val="28"/>
        </w:rPr>
      </w:pPr>
      <w:r>
        <w:rPr>
          <w:sz w:val="28"/>
        </w:rPr>
      </w:r>
    </w:p>
    <w:p>
      <w:pPr>
        <w:pStyle w:val="Normal"/>
        <w:ind w:start="720" w:end="0"/>
        <w:jc w:val="both"/>
        <w:rPr/>
      </w:pPr>
      <w:r>
        <w:rPr>
          <w:sz w:val="28"/>
        </w:rPr>
        <w:t xml:space="preserve">The administrative model used to calculate stranded costs (Excess Costs Over Market – “ECOM” model) showed that </w:t>
      </w:r>
      <w:r>
        <w:rPr>
          <w:b/>
          <w:sz w:val="28"/>
        </w:rPr>
        <w:t>stranded costs were negative</w:t>
      </w:r>
      <w:r>
        <w:rPr>
          <w:sz w:val="28"/>
        </w:rPr>
        <w:t xml:space="preserve"> for the investor-owned utilities</w:t>
      </w:r>
    </w:p>
    <w:p>
      <w:pPr>
        <w:pStyle w:val="Normal"/>
        <w:ind w:start="720" w:end="0"/>
        <w:jc w:val="both"/>
        <w:rPr>
          <w:sz w:val="28"/>
        </w:rPr>
      </w:pPr>
      <w:r>
        <w:rPr>
          <w:sz w:val="28"/>
        </w:rPr>
      </w:r>
    </w:p>
    <w:p>
      <w:pPr>
        <w:pStyle w:val="Normal"/>
        <w:ind w:start="720" w:end="0"/>
        <w:jc w:val="both"/>
        <w:rPr>
          <w:sz w:val="28"/>
        </w:rPr>
      </w:pPr>
      <w:r>
        <w:rPr>
          <w:sz w:val="28"/>
        </w:rPr>
        <w:tab/>
        <w:t>Reliant – negative $2.5 billion</w:t>
      </w:r>
    </w:p>
    <w:p>
      <w:pPr>
        <w:pStyle w:val="Normal"/>
        <w:ind w:start="720" w:end="0"/>
        <w:jc w:val="both"/>
        <w:rPr>
          <w:sz w:val="28"/>
        </w:rPr>
      </w:pPr>
      <w:r>
        <w:rPr>
          <w:sz w:val="28"/>
        </w:rPr>
        <w:tab/>
        <w:t>TXU – negative $2.76 billion</w:t>
      </w:r>
    </w:p>
    <w:p>
      <w:pPr>
        <w:pStyle w:val="Normal"/>
        <w:ind w:start="720" w:end="0"/>
        <w:jc w:val="both"/>
        <w:rPr>
          <w:sz w:val="28"/>
        </w:rPr>
      </w:pPr>
      <w:r>
        <w:rPr>
          <w:sz w:val="28"/>
        </w:rPr>
        <w:tab/>
        <w:t>CPL – negative $600 million</w:t>
      </w:r>
    </w:p>
    <w:p>
      <w:pPr>
        <w:pStyle w:val="Normal"/>
        <w:ind w:start="720" w:end="0"/>
        <w:jc w:val="both"/>
        <w:rPr>
          <w:sz w:val="28"/>
        </w:rPr>
      </w:pPr>
      <w:r>
        <w:rPr>
          <w:sz w:val="28"/>
        </w:rPr>
        <w:tab/>
        <w:t>Entergy – 0 stranded costs (by stipulation)</w:t>
      </w:r>
    </w:p>
    <w:p>
      <w:pPr>
        <w:pStyle w:val="Normal"/>
        <w:ind w:start="720" w:end="0"/>
        <w:jc w:val="both"/>
        <w:rPr>
          <w:sz w:val="28"/>
        </w:rPr>
      </w:pPr>
      <w:r>
        <w:rPr>
          <w:sz w:val="28"/>
        </w:rPr>
      </w:r>
    </w:p>
    <w:p>
      <w:pPr>
        <w:pStyle w:val="Normal"/>
        <w:ind w:start="720" w:end="0"/>
        <w:jc w:val="both"/>
        <w:rPr>
          <w:sz w:val="28"/>
        </w:rPr>
      </w:pPr>
      <w:r>
        <w:rPr>
          <w:sz w:val="28"/>
        </w:rPr>
        <w:t>The Commission addressed the negative stranded costs by reversing the redirected transmission and distribution depreciation, and returning the additional depreciation arising from excess earnings to ratepayers as a credit to T&amp;D rates amortized over 7 years</w:t>
      </w:r>
    </w:p>
    <w:p>
      <w:pPr>
        <w:pStyle w:val="Normal"/>
        <w:jc w:val="both"/>
        <w:rPr>
          <w:sz w:val="28"/>
        </w:rPr>
      </w:pPr>
      <w:r>
        <w:rPr>
          <w:sz w:val="28"/>
        </w:rPr>
      </w:r>
    </w:p>
    <w:p>
      <w:pPr>
        <w:pStyle w:val="Normal"/>
        <w:ind w:start="720" w:end="0"/>
        <w:jc w:val="both"/>
        <w:rPr>
          <w:sz w:val="28"/>
        </w:rPr>
      </w:pPr>
      <w:r>
        <w:rPr>
          <w:sz w:val="28"/>
        </w:rPr>
        <w:t xml:space="preserve">The Commission Staff is calculating the non-bypassable charges resulting from decisions in these cases, and is expected to publish them soon </w:t>
      </w:r>
    </w:p>
    <w:p>
      <w:pPr>
        <w:pStyle w:val="Normal"/>
        <w:jc w:val="both"/>
        <w:rPr>
          <w:sz w:val="28"/>
        </w:rPr>
      </w:pPr>
      <w:r>
        <w:rPr>
          <w:sz w:val="28"/>
        </w:rPr>
      </w:r>
    </w:p>
    <w:p>
      <w:pPr>
        <w:pStyle w:val="Normal"/>
        <w:jc w:val="both"/>
        <w:rPr>
          <w:sz w:val="28"/>
        </w:rPr>
      </w:pPr>
      <w:r>
        <w:rPr>
          <w:sz w:val="28"/>
        </w:rPr>
      </w:r>
    </w:p>
    <w:p>
      <w:pPr>
        <w:pStyle w:val="Heading3"/>
        <w:ind w:hanging="0" w:start="0"/>
        <w:rPr/>
      </w:pPr>
      <w:r>
        <w:rPr/>
        <w:t>STATUS OF TRANSMISSION IN ERCOT</w:t>
      </w:r>
    </w:p>
    <w:p>
      <w:pPr>
        <w:pStyle w:val="Normal"/>
        <w:jc w:val="both"/>
        <w:rPr>
          <w:b/>
          <w:sz w:val="28"/>
        </w:rPr>
      </w:pPr>
      <w:r>
        <w:rPr>
          <w:b/>
          <w:sz w:val="28"/>
        </w:rPr>
      </w:r>
    </w:p>
    <w:p>
      <w:pPr>
        <w:pStyle w:val="Normal"/>
        <w:jc w:val="both"/>
        <w:rPr/>
      </w:pPr>
      <w:r>
        <w:rPr>
          <w:b/>
          <w:sz w:val="28"/>
        </w:rPr>
        <w:tab/>
      </w:r>
      <w:r>
        <w:rPr>
          <w:bCs/>
          <w:sz w:val="28"/>
        </w:rPr>
        <w:t>The current major ERCOT transmission constraints are:</w:t>
      </w:r>
    </w:p>
    <w:p>
      <w:pPr>
        <w:pStyle w:val="Normal"/>
        <w:jc w:val="both"/>
        <w:rPr>
          <w:bCs/>
          <w:sz w:val="28"/>
        </w:rPr>
      </w:pPr>
      <w:r>
        <w:rPr>
          <w:bCs/>
          <w:sz w:val="28"/>
        </w:rPr>
      </w:r>
    </w:p>
    <w:p>
      <w:pPr>
        <w:pStyle w:val="Normal"/>
        <w:numPr>
          <w:ilvl w:val="0"/>
          <w:numId w:val="2"/>
        </w:numPr>
        <w:jc w:val="both"/>
        <w:rPr>
          <w:bCs/>
          <w:sz w:val="28"/>
        </w:rPr>
      </w:pPr>
      <w:r>
        <w:rPr>
          <w:bCs/>
          <w:sz w:val="28"/>
        </w:rPr>
        <w:t>South Texas To North Texas</w:t>
      </w:r>
    </w:p>
    <w:p>
      <w:pPr>
        <w:pStyle w:val="Normal"/>
        <w:numPr>
          <w:ilvl w:val="0"/>
          <w:numId w:val="2"/>
        </w:numPr>
        <w:jc w:val="both"/>
        <w:rPr>
          <w:bCs/>
          <w:sz w:val="28"/>
        </w:rPr>
      </w:pPr>
      <w:r>
        <w:rPr>
          <w:bCs/>
          <w:sz w:val="28"/>
        </w:rPr>
        <w:t>To and From West Texas</w:t>
      </w:r>
    </w:p>
    <w:p>
      <w:pPr>
        <w:pStyle w:val="Normal"/>
        <w:numPr>
          <w:ilvl w:val="0"/>
          <w:numId w:val="2"/>
        </w:numPr>
        <w:jc w:val="both"/>
        <w:rPr>
          <w:bCs/>
          <w:sz w:val="28"/>
        </w:rPr>
      </w:pPr>
      <w:r>
        <w:rPr>
          <w:bCs/>
          <w:sz w:val="28"/>
        </w:rPr>
        <w:t>To and From South Texas and the Rio Grande Valley</w:t>
      </w:r>
    </w:p>
    <w:p>
      <w:pPr>
        <w:pStyle w:val="Normal"/>
        <w:numPr>
          <w:ilvl w:val="0"/>
          <w:numId w:val="2"/>
        </w:numPr>
        <w:jc w:val="both"/>
        <w:rPr>
          <w:bCs/>
          <w:sz w:val="28"/>
        </w:rPr>
      </w:pPr>
      <w:r>
        <w:rPr>
          <w:bCs/>
          <w:sz w:val="28"/>
        </w:rPr>
        <w:t>To Dallas, Denton, Collin and Tarrant Counties</w:t>
      </w:r>
    </w:p>
    <w:p>
      <w:pPr>
        <w:pStyle w:val="Normal"/>
        <w:numPr>
          <w:ilvl w:val="0"/>
          <w:numId w:val="2"/>
        </w:numPr>
        <w:jc w:val="both"/>
        <w:rPr>
          <w:bCs/>
          <w:sz w:val="28"/>
        </w:rPr>
      </w:pPr>
      <w:r>
        <w:rPr>
          <w:bCs/>
          <w:sz w:val="28"/>
        </w:rPr>
        <w:t xml:space="preserve">From East DC Tie Northeast Texas </w:t>
      </w:r>
    </w:p>
    <w:p>
      <w:pPr>
        <w:pStyle w:val="Normal"/>
        <w:numPr>
          <w:ilvl w:val="0"/>
          <w:numId w:val="2"/>
        </w:numPr>
        <w:jc w:val="both"/>
        <w:rPr>
          <w:bCs/>
          <w:sz w:val="28"/>
        </w:rPr>
      </w:pPr>
      <w:r>
        <w:rPr>
          <w:bCs/>
          <w:sz w:val="28"/>
        </w:rPr>
        <w:t xml:space="preserve">From Houston Area </w:t>
      </w:r>
    </w:p>
    <w:p>
      <w:pPr>
        <w:pStyle w:val="Normal"/>
        <w:ind w:start="720" w:end="0"/>
        <w:jc w:val="both"/>
        <w:rPr>
          <w:bCs/>
          <w:sz w:val="28"/>
        </w:rPr>
      </w:pPr>
      <w:r>
        <w:rPr>
          <w:bCs/>
          <w:sz w:val="28"/>
        </w:rPr>
      </w:r>
    </w:p>
    <w:p>
      <w:pPr>
        <w:pStyle w:val="BodyTextIndent2"/>
        <w:rPr/>
      </w:pPr>
      <w:r>
        <w:rPr/>
        <w:t>ERCOT has supported and recommended the following major projects, currently under development by transmission service providers that will help mitigate these constraints. These projects are:</w:t>
      </w:r>
    </w:p>
    <w:p>
      <w:pPr>
        <w:pStyle w:val="Normal"/>
        <w:numPr>
          <w:ilvl w:val="0"/>
          <w:numId w:val="3"/>
        </w:numPr>
        <w:jc w:val="both"/>
        <w:rPr>
          <w:bCs/>
          <w:sz w:val="28"/>
        </w:rPr>
      </w:pPr>
      <w:r>
        <w:rPr>
          <w:bCs/>
          <w:sz w:val="28"/>
        </w:rPr>
        <w:t>Limestone-Watermill Double Circuit 345 kV Line</w:t>
      </w:r>
    </w:p>
    <w:p>
      <w:pPr>
        <w:pStyle w:val="Normal"/>
        <w:numPr>
          <w:ilvl w:val="0"/>
          <w:numId w:val="3"/>
        </w:numPr>
        <w:jc w:val="both"/>
        <w:rPr>
          <w:bCs/>
          <w:sz w:val="28"/>
        </w:rPr>
      </w:pPr>
      <w:r>
        <w:rPr>
          <w:bCs/>
          <w:sz w:val="28"/>
        </w:rPr>
        <w:t>Morgan Creek- Twin Buttes-Red Creek-Comanche Switch 345 kV Line</w:t>
      </w:r>
    </w:p>
    <w:p>
      <w:pPr>
        <w:pStyle w:val="Normal"/>
        <w:numPr>
          <w:ilvl w:val="0"/>
          <w:numId w:val="3"/>
        </w:numPr>
        <w:jc w:val="both"/>
        <w:rPr>
          <w:bCs/>
          <w:sz w:val="28"/>
        </w:rPr>
      </w:pPr>
      <w:r>
        <w:rPr>
          <w:bCs/>
          <w:sz w:val="28"/>
        </w:rPr>
        <w:t>Graham-Jackson 345 kV Line</w:t>
      </w:r>
    </w:p>
    <w:p>
      <w:pPr>
        <w:pStyle w:val="Normal"/>
        <w:numPr>
          <w:ilvl w:val="0"/>
          <w:numId w:val="3"/>
        </w:numPr>
        <w:jc w:val="both"/>
        <w:rPr>
          <w:bCs/>
          <w:sz w:val="28"/>
        </w:rPr>
      </w:pPr>
      <w:r>
        <w:rPr>
          <w:bCs/>
          <w:sz w:val="28"/>
        </w:rPr>
        <w:t>Military Highway 138 kV STATCOM Dynamic Reactive Resource</w:t>
      </w:r>
    </w:p>
    <w:p>
      <w:pPr>
        <w:pStyle w:val="Normal"/>
        <w:numPr>
          <w:ilvl w:val="0"/>
          <w:numId w:val="3"/>
        </w:numPr>
        <w:jc w:val="both"/>
        <w:rPr>
          <w:bCs/>
          <w:sz w:val="28"/>
        </w:rPr>
      </w:pPr>
      <w:r>
        <w:rPr>
          <w:bCs/>
          <w:sz w:val="28"/>
        </w:rPr>
        <w:t xml:space="preserve">Lon Hill- Rio Hondo and Lon Hill-Edinburgh 345 kV Lines Series Capacitor Compensation </w:t>
      </w:r>
    </w:p>
    <w:p>
      <w:pPr>
        <w:pStyle w:val="Normal"/>
        <w:numPr>
          <w:ilvl w:val="0"/>
          <w:numId w:val="3"/>
        </w:numPr>
        <w:jc w:val="both"/>
        <w:rPr>
          <w:bCs/>
          <w:sz w:val="28"/>
        </w:rPr>
      </w:pPr>
      <w:r>
        <w:rPr>
          <w:bCs/>
          <w:sz w:val="28"/>
        </w:rPr>
        <w:t xml:space="preserve">San Miguel-Pawnee-Coleto Creek 345 kV Line </w:t>
      </w:r>
    </w:p>
    <w:p>
      <w:pPr>
        <w:pStyle w:val="Normal"/>
        <w:numPr>
          <w:ilvl w:val="0"/>
          <w:numId w:val="3"/>
        </w:numPr>
        <w:jc w:val="both"/>
        <w:rPr>
          <w:bCs/>
          <w:sz w:val="28"/>
        </w:rPr>
      </w:pPr>
      <w:r>
        <w:rPr>
          <w:bCs/>
          <w:sz w:val="28"/>
        </w:rPr>
        <w:t>Monticello-Farmerville-Valley Junction-Anna Switch 345 kVline</w:t>
      </w:r>
    </w:p>
    <w:p>
      <w:pPr>
        <w:pStyle w:val="Normal"/>
        <w:ind w:start="720" w:end="0"/>
        <w:jc w:val="both"/>
        <w:rPr>
          <w:bCs/>
          <w:sz w:val="28"/>
        </w:rPr>
      </w:pPr>
      <w:r>
        <w:rPr>
          <w:bCs/>
          <w:sz w:val="28"/>
        </w:rPr>
      </w:r>
    </w:p>
    <w:p>
      <w:pPr>
        <w:pStyle w:val="Normal"/>
        <w:ind w:start="720" w:end="0"/>
        <w:jc w:val="both"/>
        <w:rPr>
          <w:b/>
          <w:bCs/>
          <w:sz w:val="28"/>
        </w:rPr>
      </w:pPr>
      <w:r>
        <w:rPr>
          <w:b/>
          <w:bCs/>
          <w:sz w:val="28"/>
        </w:rPr>
      </w:r>
    </w:p>
    <w:p>
      <w:pPr>
        <w:pStyle w:val="Heading4"/>
        <w:jc w:val="center"/>
        <w:rPr>
          <w:sz w:val="32"/>
        </w:rPr>
      </w:pPr>
      <w:r>
        <w:rPr>
          <w:sz w:val="32"/>
        </w:rPr>
        <w:t>2001 Summer Assessment</w:t>
      </w:r>
    </w:p>
    <w:p>
      <w:pPr>
        <w:pStyle w:val="Heading5"/>
        <w:rPr/>
      </w:pPr>
      <w:r>
        <w:rPr/>
        <w:t>Forecast Peak Demands and Capacity Resources</w:t>
      </w:r>
    </w:p>
    <w:p>
      <w:pPr>
        <w:pStyle w:val="Normal"/>
        <w:ind w:start="720" w:end="0"/>
        <w:rPr>
          <w:b/>
          <w:sz w:val="28"/>
        </w:rPr>
      </w:pPr>
      <w:r>
        <w:rPr>
          <w:b/>
          <w:sz w:val="28"/>
        </w:rPr>
      </w:r>
    </w:p>
    <w:p>
      <w:pPr>
        <w:pStyle w:val="Normal"/>
        <w:ind w:start="720" w:end="0"/>
        <w:rPr>
          <w:b/>
          <w:sz w:val="28"/>
        </w:rPr>
      </w:pPr>
      <w:r>
        <w:rPr>
          <w:b/>
          <w:sz w:val="28"/>
        </w:rPr>
      </w:r>
    </w:p>
    <w:p>
      <w:pPr>
        <w:pStyle w:val="Normal"/>
        <w:ind w:start="720" w:end="0"/>
        <w:rPr/>
      </w:pPr>
      <w:r>
        <w:rPr>
          <w:b/>
          <w:sz w:val="28"/>
        </w:rPr>
        <w:tab/>
        <w:tab/>
        <w:tab/>
        <w:t xml:space="preserve"> </w:t>
      </w:r>
      <w:r>
        <w:rPr>
          <w:b/>
          <w:sz w:val="24"/>
        </w:rPr>
        <w:t>June 2001   July 2001   August 2001   Sept. 2001</w:t>
      </w:r>
    </w:p>
    <w:p>
      <w:pPr>
        <w:pStyle w:val="Normal"/>
        <w:ind w:start="720" w:end="0"/>
        <w:rPr>
          <w:b/>
          <w:sz w:val="24"/>
        </w:rPr>
      </w:pPr>
      <w:r>
        <w:rPr>
          <w:b/>
          <w:sz w:val="24"/>
        </w:rPr>
      </w:r>
    </w:p>
    <w:p>
      <w:pPr>
        <w:pStyle w:val="Heading6"/>
        <w:ind w:start="0" w:end="0"/>
        <w:rPr>
          <w:sz w:val="24"/>
        </w:rPr>
      </w:pPr>
      <w:r>
        <w:rPr>
          <w:sz w:val="24"/>
        </w:rPr>
        <w:t>Peak Demand in Megawatts     52,315       54,774       56,373              49,981  Loads</w:t>
      </w:r>
    </w:p>
    <w:p>
      <w:pPr>
        <w:pStyle w:val="Normal"/>
        <w:rPr>
          <w:sz w:val="24"/>
        </w:rPr>
      </w:pPr>
      <w:r>
        <w:rPr>
          <w:sz w:val="24"/>
        </w:rPr>
      </w:r>
    </w:p>
    <w:p>
      <w:pPr>
        <w:pStyle w:val="Normal"/>
        <w:rPr>
          <w:sz w:val="24"/>
        </w:rPr>
      </w:pPr>
      <w:r>
        <w:rPr>
          <w:sz w:val="24"/>
        </w:rPr>
      </w:r>
    </w:p>
    <w:p>
      <w:pPr>
        <w:pStyle w:val="Heading7"/>
        <w:ind w:hanging="0" w:start="0"/>
        <w:rPr>
          <w:b/>
          <w:bCs/>
          <w:sz w:val="24"/>
        </w:rPr>
      </w:pPr>
      <w:r>
        <w:rPr>
          <w:b/>
          <w:bCs/>
          <w:sz w:val="24"/>
        </w:rPr>
        <w:t>Capacity Resources, Net, in      64,154       65,159        65,213             64,806  Resources</w:t>
      </w:r>
    </w:p>
    <w:p>
      <w:pPr>
        <w:pStyle w:val="Heading8"/>
        <w:ind w:hanging="0" w:start="0"/>
        <w:rPr>
          <w:sz w:val="24"/>
        </w:rPr>
      </w:pPr>
      <w:r>
        <w:rPr>
          <w:sz w:val="24"/>
        </w:rPr>
        <w:t>Megawatts</w:t>
      </w:r>
    </w:p>
    <w:p>
      <w:pPr>
        <w:pStyle w:val="Normal"/>
        <w:rPr>
          <w:sz w:val="24"/>
        </w:rPr>
      </w:pPr>
      <w:r>
        <w:rPr>
          <w:sz w:val="24"/>
        </w:rPr>
      </w:r>
    </w:p>
    <w:p>
      <w:pPr>
        <w:pStyle w:val="Normal"/>
        <w:rPr>
          <w:sz w:val="24"/>
        </w:rPr>
      </w:pPr>
      <w:r>
        <w:rPr>
          <w:sz w:val="24"/>
        </w:rPr>
      </w:r>
    </w:p>
    <w:p>
      <w:pPr>
        <w:pStyle w:val="Heading8"/>
        <w:ind w:hanging="0" w:start="0"/>
        <w:rPr>
          <w:sz w:val="24"/>
        </w:rPr>
      </w:pPr>
      <w:r>
        <w:rPr>
          <w:sz w:val="24"/>
        </w:rPr>
        <w:t>Capacity Margin                        14, 432       12,992        11,673            16,918  excess available</w:t>
      </w:r>
    </w:p>
    <w:p>
      <w:pPr>
        <w:pStyle w:val="Normal"/>
        <w:rPr>
          <w:b/>
          <w:bCs/>
          <w:sz w:val="24"/>
        </w:rPr>
      </w:pPr>
      <w:r>
        <w:rPr>
          <w:b/>
          <w:bCs/>
          <w:sz w:val="24"/>
        </w:rPr>
      </w:r>
    </w:p>
    <w:p>
      <w:pPr>
        <w:pStyle w:val="Heading1"/>
        <w:ind w:hanging="0" w:start="0"/>
        <w:rPr>
          <w:b/>
          <w:bCs/>
          <w:sz w:val="24"/>
        </w:rPr>
      </w:pPr>
      <w:r>
        <w:rPr>
          <w:b/>
          <w:bCs/>
          <w:sz w:val="24"/>
        </w:rPr>
      </w:r>
    </w:p>
    <w:p>
      <w:pPr>
        <w:pStyle w:val="Heading1"/>
        <w:ind w:hanging="0" w:start="0"/>
        <w:rPr/>
      </w:pPr>
      <w:r>
        <w:rPr/>
      </w:r>
    </w:p>
    <w:p>
      <w:pPr>
        <w:pStyle w:val="Heading1"/>
        <w:ind w:hanging="0" w:start="0"/>
        <w:rPr/>
      </w:pPr>
      <w:r>
        <w:rPr/>
      </w:r>
    </w:p>
    <w:p>
      <w:pPr>
        <w:pStyle w:val="Heading1"/>
        <w:ind w:hanging="0" w:start="0"/>
        <w:rPr/>
      </w:pPr>
      <w:r>
        <w:rPr/>
        <w:t>New Generation Capacity</w:t>
      </w:r>
    </w:p>
    <w:p>
      <w:pPr>
        <w:pStyle w:val="Normal"/>
        <w:rPr>
          <w:sz w:val="28"/>
        </w:rPr>
      </w:pPr>
      <w:r>
        <w:rPr>
          <w:sz w:val="28"/>
        </w:rPr>
      </w:r>
    </w:p>
    <w:p>
      <w:pPr>
        <w:pStyle w:val="Normal"/>
        <w:rPr>
          <w:sz w:val="28"/>
        </w:rPr>
      </w:pPr>
      <w:r>
        <w:rPr>
          <w:sz w:val="28"/>
        </w:rPr>
        <w:t>ERCOT has received more than 110 requests for generation interconnection since 1997.  These proposed plants are located all over the state.  The need for capacity (load growth) in the state, revisions to the PUCT transmission rules and the newly adopted market deregulation appear to be attracting merchant plant developers to the Texas market.  For the proposed plants, there is still some uncertainty because many of the proposed plants are in competition with one another and some may not be built.</w:t>
      </w:r>
    </w:p>
    <w:p>
      <w:pPr>
        <w:pStyle w:val="Normal"/>
        <w:rPr>
          <w:sz w:val="28"/>
        </w:rPr>
      </w:pPr>
      <w:r>
        <w:rPr>
          <w:sz w:val="28"/>
        </w:rPr>
      </w:r>
    </w:p>
    <w:tbl>
      <w:tblPr>
        <w:tblW w:w="6811" w:type="dxa"/>
        <w:jc w:val="start"/>
        <w:tblInd w:w="0" w:type="dxa"/>
        <w:tblLayout w:type="fixed"/>
        <w:tblCellMar>
          <w:top w:w="0" w:type="dxa"/>
          <w:start w:w="30" w:type="dxa"/>
          <w:bottom w:w="0" w:type="dxa"/>
          <w:end w:w="30" w:type="dxa"/>
        </w:tblCellMar>
      </w:tblPr>
      <w:tblGrid>
        <w:gridCol w:w="2191"/>
        <w:gridCol w:w="4620"/>
      </w:tblGrid>
      <w:tr>
        <w:trPr>
          <w:trHeight w:val="262" w:hRule="atLeast"/>
        </w:trPr>
        <w:tc>
          <w:tcPr>
            <w:tcW w:w="2191" w:type="dxa"/>
            <w:tcBorders/>
          </w:tcPr>
          <w:p>
            <w:pPr>
              <w:pStyle w:val="Normal"/>
              <w:jc w:val="center"/>
              <w:rPr>
                <w:rFonts w:ascii="Arial" w:hAnsi="Arial" w:cs="Arial"/>
                <w:b/>
                <w:color w:val="000000"/>
                <w:sz w:val="28"/>
              </w:rPr>
            </w:pPr>
            <w:r>
              <w:rPr>
                <w:rFonts w:cs="Arial" w:ascii="Arial" w:hAnsi="Arial"/>
                <w:b/>
                <w:color w:val="000000"/>
                <w:sz w:val="28"/>
              </w:rPr>
              <w:t>IN SERVICE YEAR</w:t>
            </w:r>
          </w:p>
        </w:tc>
        <w:tc>
          <w:tcPr>
            <w:tcW w:w="4620" w:type="dxa"/>
            <w:tcBorders/>
          </w:tcPr>
          <w:p>
            <w:pPr>
              <w:pStyle w:val="Normal"/>
              <w:jc w:val="center"/>
              <w:rPr>
                <w:rFonts w:ascii="Arial" w:hAnsi="Arial" w:cs="Arial"/>
                <w:b/>
                <w:color w:val="000000"/>
                <w:sz w:val="28"/>
              </w:rPr>
            </w:pPr>
            <w:r>
              <w:rPr>
                <w:rFonts w:cs="Arial" w:ascii="Arial" w:hAnsi="Arial"/>
                <w:b/>
                <w:color w:val="000000"/>
                <w:sz w:val="28"/>
              </w:rPr>
              <w:t>NEW PROPOSED GENERATION CAPACITY</w:t>
            </w:r>
          </w:p>
        </w:tc>
      </w:tr>
      <w:tr>
        <w:trPr>
          <w:trHeight w:val="262"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2000</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6,500 MW</w:t>
            </w:r>
          </w:p>
        </w:tc>
      </w:tr>
      <w:tr>
        <w:trPr>
          <w:trHeight w:val="262"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2001</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9,500 MW</w:t>
            </w:r>
          </w:p>
        </w:tc>
      </w:tr>
      <w:tr>
        <w:trPr>
          <w:trHeight w:val="288"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2002</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17,500 MW</w:t>
            </w:r>
          </w:p>
        </w:tc>
      </w:tr>
      <w:tr>
        <w:trPr>
          <w:trHeight w:val="262"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2003</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13,000 MW</w:t>
            </w:r>
          </w:p>
        </w:tc>
      </w:tr>
      <w:tr>
        <w:trPr>
          <w:trHeight w:val="262"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2004</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2,000 MW</w:t>
            </w:r>
          </w:p>
        </w:tc>
      </w:tr>
      <w:tr>
        <w:trPr>
          <w:trHeight w:val="262" w:hRule="atLeast"/>
        </w:trPr>
        <w:tc>
          <w:tcPr>
            <w:tcW w:w="2191" w:type="dxa"/>
            <w:tcBorders/>
          </w:tcPr>
          <w:p>
            <w:pPr>
              <w:pStyle w:val="Normal"/>
              <w:jc w:val="center"/>
              <w:rPr>
                <w:rFonts w:ascii="Arial" w:hAnsi="Arial" w:cs="Arial"/>
                <w:color w:val="000000"/>
                <w:sz w:val="28"/>
              </w:rPr>
            </w:pPr>
            <w:r>
              <w:rPr>
                <w:rFonts w:cs="Arial" w:ascii="Arial" w:hAnsi="Arial"/>
                <w:color w:val="000000"/>
                <w:sz w:val="28"/>
              </w:rPr>
              <w:t>2005</w:t>
            </w:r>
          </w:p>
        </w:tc>
        <w:tc>
          <w:tcPr>
            <w:tcW w:w="4620" w:type="dxa"/>
            <w:tcBorders/>
          </w:tcPr>
          <w:p>
            <w:pPr>
              <w:pStyle w:val="Normal"/>
              <w:jc w:val="center"/>
              <w:rPr>
                <w:rFonts w:ascii="Arial" w:hAnsi="Arial" w:cs="Arial"/>
                <w:color w:val="000000"/>
                <w:sz w:val="28"/>
              </w:rPr>
            </w:pPr>
            <w:r>
              <w:rPr>
                <w:rFonts w:cs="Arial" w:ascii="Arial" w:hAnsi="Arial"/>
                <w:color w:val="000000"/>
                <w:sz w:val="28"/>
              </w:rPr>
              <w:t>Greater than 1,500 MW</w:t>
            </w:r>
          </w:p>
        </w:tc>
      </w:tr>
    </w:tbl>
    <w:p>
      <w:pPr>
        <w:pStyle w:val="Normal"/>
        <w:rPr>
          <w:sz w:val="28"/>
        </w:rPr>
      </w:pPr>
      <w:r>
        <w:rPr>
          <w:sz w:val="28"/>
        </w:rPr>
      </w:r>
    </w:p>
    <w:p>
      <w:pPr>
        <w:pStyle w:val="Normal"/>
        <w:rPr>
          <w:sz w:val="28"/>
        </w:rPr>
      </w:pPr>
      <w:r>
        <w:rPr>
          <w:sz w:val="28"/>
        </w:rPr>
        <w:t>Proposed generation may help relieve or might exacerbate the current transmission constraints in ERCOT but the new plants cannot be fully accommodated by the existing transmission system.  New generation projects, as well as load growth patterns, direct the need and placement of new transmission additions.  The uncertainty of proposed plants and the generation they will displace impose some imprecision in transmission planning at any given time, and studies more than two years in the future begin to lose their certainty.  Therefore, any new transmission additions should provide for more capacity than current identified contingencies.</w:t>
      </w:r>
    </w:p>
    <w:p>
      <w:pPr>
        <w:pStyle w:val="Normal"/>
        <w:rPr>
          <w:sz w:val="28"/>
        </w:rPr>
      </w:pPr>
      <w:r>
        <w:rPr>
          <w:sz w:val="28"/>
        </w:rPr>
      </w:r>
    </w:p>
    <w:p>
      <w:pPr>
        <w:pStyle w:val="Normal"/>
        <w:rPr>
          <w:sz w:val="28"/>
        </w:rPr>
      </w:pPr>
      <w:r>
        <w:rPr>
          <w:sz w:val="28"/>
        </w:rPr>
        <w:t xml:space="preserve">It should be noted that the addition of any large generating plant could result in significant impacts to the transmission system. </w:t>
      </w:r>
    </w:p>
    <w:p>
      <w:pPr>
        <w:pStyle w:val="Normal"/>
        <w:rPr>
          <w:b/>
          <w:bCs/>
          <w:sz w:val="28"/>
        </w:rPr>
      </w:pPr>
      <w:r>
        <w:rPr>
          <w:b/>
          <w:bCs/>
          <w:sz w:val="28"/>
        </w:rPr>
        <w:tab/>
        <w:tab/>
        <w:tab/>
        <w:tab/>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440"/>
        </w:tabs>
        <w:ind w:start="144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numFmt w:val="bullet"/>
      <w:lvlText w:val=""/>
      <w:lvlJc w:val="start"/>
      <w:pPr>
        <w:tabs>
          <w:tab w:val="num" w:pos="720"/>
        </w:tabs>
        <w:ind w:start="720" w:hanging="720"/>
      </w:pPr>
      <w:rPr>
        <w:rFonts w:ascii="Symbol" w:hAnsi="Symbol" w:cs="Symbol" w:hint="default"/>
        <w:b/>
      </w:rPr>
    </w:lvl>
  </w:abstractNum>
  <w:abstractNum w:abstractNumId="5">
    <w:lvl w:ilvl="0">
      <w:numFmt w:val="bullet"/>
      <w:lvlText w:val=""/>
      <w:lvlJc w:val="start"/>
      <w:pPr>
        <w:tabs>
          <w:tab w:val="num" w:pos="720"/>
        </w:tabs>
        <w:ind w:start="720" w:hanging="720"/>
      </w:pPr>
      <w:rPr>
        <w:rFonts w:ascii="Symbol" w:hAnsi="Symbol" w:cs="Symbol" w:hint="default"/>
        <w:b/>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5"/>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8"/>
      <w:u w:val="single"/>
    </w:rPr>
  </w:style>
  <w:style w:type="paragraph" w:styleId="Heading2">
    <w:name w:val="heading 2"/>
    <w:basedOn w:val="Normal"/>
    <w:next w:val="Normal"/>
    <w:qFormat/>
    <w:pPr>
      <w:keepNext w:val="true"/>
      <w:numPr>
        <w:ilvl w:val="1"/>
        <w:numId w:val="1"/>
      </w:numPr>
      <w:jc w:val="both"/>
      <w:outlineLvl w:val="1"/>
    </w:pPr>
    <w:rPr>
      <w:b/>
      <w:sz w:val="28"/>
      <w:u w:val="single"/>
    </w:rPr>
  </w:style>
  <w:style w:type="paragraph" w:styleId="Heading3">
    <w:name w:val="heading 3"/>
    <w:basedOn w:val="Normal"/>
    <w:next w:val="Normal"/>
    <w:qFormat/>
    <w:pPr>
      <w:keepNext w:val="true"/>
      <w:numPr>
        <w:ilvl w:val="2"/>
        <w:numId w:val="1"/>
      </w:numPr>
      <w:jc w:val="both"/>
      <w:outlineLvl w:val="2"/>
    </w:pPr>
    <w:rPr>
      <w:b/>
      <w:sz w:val="28"/>
    </w:rPr>
  </w:style>
  <w:style w:type="paragraph" w:styleId="Heading4">
    <w:name w:val="heading 4"/>
    <w:basedOn w:val="Normal"/>
    <w:next w:val="Normal"/>
    <w:qFormat/>
    <w:pPr>
      <w:keepNext w:val="true"/>
      <w:numPr>
        <w:ilvl w:val="3"/>
        <w:numId w:val="1"/>
      </w:numPr>
      <w:ind w:hanging="0" w:start="720" w:end="0"/>
      <w:jc w:val="both"/>
      <w:outlineLvl w:val="3"/>
    </w:pPr>
    <w:rPr>
      <w:b/>
      <w:sz w:val="28"/>
    </w:rPr>
  </w:style>
  <w:style w:type="paragraph" w:styleId="Heading5">
    <w:name w:val="heading 5"/>
    <w:basedOn w:val="Normal"/>
    <w:next w:val="Normal"/>
    <w:qFormat/>
    <w:pPr>
      <w:keepNext w:val="true"/>
      <w:numPr>
        <w:ilvl w:val="4"/>
        <w:numId w:val="1"/>
      </w:numPr>
      <w:ind w:hanging="0" w:start="720" w:end="0"/>
      <w:jc w:val="center"/>
      <w:outlineLvl w:val="4"/>
    </w:pPr>
    <w:rPr>
      <w:b/>
      <w:sz w:val="32"/>
    </w:rPr>
  </w:style>
  <w:style w:type="paragraph" w:styleId="Heading6">
    <w:name w:val="heading 6"/>
    <w:basedOn w:val="Normal"/>
    <w:next w:val="Normal"/>
    <w:qFormat/>
    <w:pPr>
      <w:keepNext w:val="true"/>
      <w:numPr>
        <w:ilvl w:val="5"/>
        <w:numId w:val="1"/>
      </w:numPr>
      <w:ind w:hanging="0" w:start="720" w:end="0"/>
      <w:outlineLvl w:val="5"/>
    </w:pPr>
    <w:rPr>
      <w:b/>
      <w:sz w:val="28"/>
    </w:rPr>
  </w:style>
  <w:style w:type="paragraph" w:styleId="Heading7">
    <w:name w:val="heading 7"/>
    <w:basedOn w:val="Normal"/>
    <w:next w:val="Normal"/>
    <w:qFormat/>
    <w:pPr>
      <w:keepNext w:val="true"/>
      <w:numPr>
        <w:ilvl w:val="6"/>
        <w:numId w:val="1"/>
      </w:numPr>
      <w:outlineLvl w:val="6"/>
    </w:pPr>
    <w:rPr>
      <w:sz w:val="28"/>
    </w:rPr>
  </w:style>
  <w:style w:type="paragraph" w:styleId="Heading8">
    <w:name w:val="heading 8"/>
    <w:basedOn w:val="Normal"/>
    <w:next w:val="Normal"/>
    <w:qFormat/>
    <w:pPr>
      <w:keepNext w:val="true"/>
      <w:numPr>
        <w:ilvl w:val="7"/>
        <w:numId w:val="1"/>
      </w:numPr>
      <w:outlineLvl w:val="7"/>
    </w:pPr>
    <w:rPr>
      <w:b/>
      <w:bCs/>
      <w:sz w:val="28"/>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b/>
    </w:rPr>
  </w:style>
  <w:style w:type="character" w:styleId="WW8Num4z0">
    <w:name w:val="WW8Num4z0"/>
    <w:qFormat/>
    <w:rPr>
      <w:rFonts w:ascii="Symbol" w:hAnsi="Symbol" w:cs="Symbol"/>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z w:val="28"/>
    </w:rPr>
  </w:style>
  <w:style w:type="paragraph" w:styleId="BodyText">
    <w:name w:val="Body Text"/>
    <w:basedOn w:val="Normal"/>
    <w:pPr>
      <w:jc w:val="both"/>
    </w:pPr>
    <w:rPr>
      <w:sz w:val="28"/>
      <w:u w:val="single"/>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both"/>
    </w:pPr>
    <w:rPr>
      <w:sz w:val="28"/>
    </w:rPr>
  </w:style>
  <w:style w:type="paragraph" w:styleId="BodyTextIndent">
    <w:name w:val="Body Text Indent"/>
    <w:basedOn w:val="Normal"/>
    <w:pPr>
      <w:ind w:hanging="720" w:start="1440" w:end="0"/>
      <w:jc w:val="both"/>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720" w:end="0"/>
      <w:jc w:val="both"/>
    </w:pPr>
    <w:rPr>
      <w:bCs/>
      <w:sz w:val="2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2001-06-01T18:57:00Z</dcterms:created>
  <dc:creator>Marianne Carroll</dc:creator>
  <dc:description/>
  <dc:language>en-CA</dc:language>
  <cp:lastModifiedBy>jryall</cp:lastModifiedBy>
  <cp:lastPrinted>2001-01-19T11:44:00Z</cp:lastPrinted>
  <dcterms:modified xsi:type="dcterms:W3CDTF">2001-06-01T18:57:00Z</dcterms:modified>
  <cp:revision>2</cp:revision>
  <dc:subject/>
  <dc:title>GCPA ANNUAL MEETING, JAN</dc:title>
</cp:coreProperties>
</file>