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6"/>
        </w:rPr>
      </w:pPr>
      <w:r>
        <w:rPr>
          <w:rFonts w:cs="Arial Narrow" w:ascii="Arial Narrow" w:hAnsi="Arial Narrow"/>
          <w:b/>
          <w:sz w:val="16"/>
        </w:rPr>
      </w:r>
    </w:p>
    <w:p>
      <w:pPr>
        <w:pStyle w:val="Normal"/>
        <w:jc w:val="center"/>
        <w:rPr>
          <w:rFonts w:ascii="Arial Narrow" w:hAnsi="Arial Narrow" w:cs="Arial Narrow"/>
          <w:b/>
          <w:sz w:val="16"/>
        </w:rPr>
      </w:pPr>
      <w:r>
        <w:rPr>
          <w:rFonts w:cs="Arial Narrow" w:ascii="Arial Narrow" w:hAnsi="Arial Narrow"/>
          <w:b/>
          <w:sz w:val="16"/>
        </w:rPr>
      </w:r>
    </w:p>
    <w:p>
      <w:pPr>
        <w:pStyle w:val="Normal"/>
        <w:jc w:val="center"/>
        <w:rPr>
          <w:rFonts w:ascii="Arial Narrow" w:hAnsi="Arial Narrow" w:cs="Arial Narrow"/>
          <w:b/>
          <w:sz w:val="16"/>
        </w:rPr>
      </w:pPr>
      <w:r>
        <w:rPr>
          <w:rFonts w:cs="Arial Narrow" w:ascii="Arial Narrow" w:hAnsi="Arial Narrow"/>
          <w:b/>
          <w:sz w:val="16"/>
        </w:rPr>
      </w:r>
    </w:p>
    <w:p>
      <w:pPr>
        <w:pStyle w:val="Normal"/>
        <w:jc w:val="center"/>
        <w:rPr>
          <w:rFonts w:ascii="Arial Narrow" w:hAnsi="Arial Narrow" w:cs="Arial Narrow"/>
          <w:b/>
          <w:sz w:val="16"/>
        </w:rPr>
      </w:pPr>
      <w:r>
        <w:rPr>
          <w:rFonts w:cs="Arial Narrow" w:ascii="Arial Narrow" w:hAnsi="Arial Narrow"/>
          <w:b/>
          <w:sz w:val="16"/>
        </w:rPr>
      </w:r>
    </w:p>
    <w:p>
      <w:pPr>
        <w:pStyle w:val="Normal"/>
        <w:jc w:val="center"/>
        <w:rPr>
          <w:rFonts w:ascii="Arial Narrow" w:hAnsi="Arial Narrow" w:cs="Arial Narrow"/>
          <w:b/>
          <w:sz w:val="16"/>
        </w:rPr>
      </w:pPr>
      <w:r>
        <w:rPr>
          <w:rFonts w:cs="Arial Narrow" w:ascii="Arial Narrow" w:hAnsi="Arial Narrow"/>
          <w:b/>
          <w:sz w:val="16"/>
        </w:rPr>
      </w:r>
    </w:p>
    <w:p>
      <w:pPr>
        <w:pStyle w:val="Normal"/>
        <w:jc w:val="center"/>
        <w:rPr>
          <w:rFonts w:ascii="Arial Narrow" w:hAnsi="Arial Narrow" w:cs="Arial Narrow"/>
          <w:b/>
          <w:sz w:val="16"/>
        </w:rPr>
      </w:pPr>
      <w:r>
        <w:rPr>
          <w:rFonts w:cs="Arial Narrow" w:ascii="Arial Narrow" w:hAnsi="Arial Narrow"/>
          <w:b/>
          <w:sz w:val="16"/>
        </w:rPr>
      </w:r>
    </w:p>
    <w:p>
      <w:pPr>
        <w:pStyle w:val="Normal"/>
        <w:jc w:val="center"/>
        <w:rPr/>
      </w:pPr>
      <w:r>
        <w:rPr>
          <w:rFonts w:cs="Arial Narrow" w:ascii="Arial Narrow" w:hAnsi="Arial Narrow"/>
          <w:b/>
        </w:rPr>
        <w:t>CONFIRMATION--MASTER</w:t>
      </w:r>
      <w:r>
        <w:rPr>
          <w:rFonts w:cs="Arial Narrow" w:ascii="Arial Narrow" w:hAnsi="Arial Narrow"/>
          <w:b/>
          <w:position w:val="6"/>
        </w:rPr>
        <w:t xml:space="preserve"> </w:t>
      </w:r>
      <w:r>
        <w:rPr>
          <w:rFonts w:cs="Arial Narrow" w:ascii="Arial Narrow" w:hAnsi="Arial Narrow"/>
          <w:b/>
        </w:rPr>
        <w:t>PURCHASE/SALE AGREEMENT GOVERNS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r>
    </w:p>
    <w:p>
      <w:pPr>
        <w:pStyle w:val="Normal"/>
        <w:jc w:val="both"/>
        <w:rPr>
          <w:rFonts w:ascii="Arial Narrow" w:hAnsi="Arial Narrow" w:cs="Arial Narrow"/>
          <w:b/>
        </w:rPr>
      </w:pPr>
      <w:r>
        <w:rPr>
          <w:rFonts w:cs="Arial Narrow" w:ascii="Arial Narrow" w:hAnsi="Arial Narrow"/>
          <w:b/>
        </w:rPr>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November 9, 2000</w:t>
        <w:tab/>
        <w:t xml:space="preserve"> </w:t>
        <w:tab/>
        <w:tab/>
        <w:tab/>
        <w:t>VIA FACSIMILE:  (713</w:t>
      </w:r>
      <w:r>
        <w:rPr>
          <w:rFonts w:cs="Arial Narrow" w:ascii="Arial Narrow" w:hAnsi="Arial Narrow"/>
          <w:color w:val="000000"/>
          <w:lang w:eastAsia="en-US"/>
        </w:rPr>
        <w:t>) 752-7896</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Mr. Gary Marchiori</w:t>
      </w:r>
    </w:p>
    <w:p>
      <w:pPr>
        <w:pStyle w:val="Normal"/>
        <w:jc w:val="both"/>
        <w:rPr>
          <w:rFonts w:ascii="Arial Narrow" w:hAnsi="Arial Narrow" w:cs="Arial Narrow"/>
        </w:rPr>
      </w:pPr>
      <w:r>
        <w:rPr>
          <w:rFonts w:cs="Arial Narrow" w:ascii="Arial Narrow" w:hAnsi="Arial Narrow"/>
        </w:rPr>
        <w:t>Texaco Natural Gas, Inc.</w:t>
      </w:r>
    </w:p>
    <w:p>
      <w:pPr>
        <w:pStyle w:val="Normal"/>
        <w:jc w:val="both"/>
        <w:rPr>
          <w:rFonts w:ascii="Arial Narrow" w:hAnsi="Arial Narrow" w:cs="Arial Narrow"/>
        </w:rPr>
      </w:pPr>
      <w:r>
        <w:rPr>
          <w:rFonts w:cs="Arial Narrow" w:ascii="Arial Narrow" w:hAnsi="Arial Narrow"/>
        </w:rPr>
        <w:t>1111 Bagby St.</w:t>
      </w:r>
    </w:p>
    <w:p>
      <w:pPr>
        <w:pStyle w:val="Normal"/>
        <w:jc w:val="both"/>
        <w:rPr>
          <w:rFonts w:ascii="Arial Narrow" w:hAnsi="Arial Narrow" w:cs="Arial Narrow"/>
        </w:rPr>
      </w:pPr>
      <w:r>
        <w:rPr>
          <w:rFonts w:cs="Arial Narrow" w:ascii="Arial Narrow" w:hAnsi="Arial Narrow"/>
        </w:rPr>
        <w:t>Houston, TX 77002</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b/>
        </w:rPr>
        <w:t xml:space="preserve">CONFIRMATION </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 xml:space="preserve">This confirmation shall confirm the transaction (311699&amp;311700), reached on August 22 2000, between </w:t>
      </w:r>
      <w:r>
        <w:rPr>
          <w:rFonts w:cs="Arial Narrow" w:ascii="Arial Narrow" w:hAnsi="Arial Narrow"/>
          <w:b/>
        </w:rPr>
        <w:t>Texaco Natural Gas, Inc</w:t>
      </w:r>
      <w:r>
        <w:rPr>
          <w:rFonts w:cs="Arial Narrow" w:ascii="Arial Narrow" w:hAnsi="Arial Narrow"/>
        </w:rPr>
        <w:t>.</w:t>
      </w:r>
      <w:r>
        <w:rPr>
          <w:rFonts w:cs="Arial Narrow" w:ascii="Arial Narrow" w:hAnsi="Arial Narrow"/>
          <w:b/>
        </w:rPr>
        <w:t xml:space="preserve">, </w:t>
      </w:r>
      <w:r>
        <w:rPr>
          <w:rFonts w:cs="Arial Narrow" w:ascii="Arial Narrow" w:hAnsi="Arial Narrow"/>
        </w:rPr>
        <w:t>("</w:t>
      </w:r>
      <w:r>
        <w:rPr>
          <w:rFonts w:cs="Arial Narrow" w:ascii="Arial Narrow" w:hAnsi="Arial Narrow"/>
          <w:u w:val="single"/>
        </w:rPr>
        <w:t>Customer</w:t>
      </w:r>
      <w:r>
        <w:rPr>
          <w:rFonts w:cs="Arial Narrow" w:ascii="Arial Narrow" w:hAnsi="Arial Narrow"/>
        </w:rPr>
        <w:t>") and Enron Energy Services, Inc., ("</w:t>
      </w:r>
      <w:r>
        <w:rPr>
          <w:rFonts w:cs="Arial Narrow" w:ascii="Arial Narrow" w:hAnsi="Arial Narrow"/>
          <w:u w:val="single"/>
        </w:rPr>
        <w:t>Company</w:t>
      </w:r>
      <w:r>
        <w:rPr>
          <w:rFonts w:cs="Arial Narrow" w:ascii="Arial Narrow" w:hAnsi="Arial Narrow"/>
        </w:rPr>
        <w:t>") regarding the purchase of natural gas under the terms and conditions of the Master Firm Purchase/Sale Agreement of April 1, 1998 (the “Agreement”).  Capitalized terms used herein but not defined have the same meanings ascribed to them in the Agreement.</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Company to purchase and receive (</w:t>
      </w:r>
      <w:r>
        <w:rPr>
          <w:rFonts w:cs="Arial Narrow" w:ascii="Arial Narrow" w:hAnsi="Arial Narrow"/>
          <w:b/>
        </w:rPr>
        <w:t>Buyer</w:t>
      </w:r>
      <w:r>
        <w:rPr>
          <w:rFonts w:cs="Arial Narrow" w:ascii="Arial Narrow" w:hAnsi="Arial Narrow"/>
        </w:rPr>
        <w:t>) and Customer to sell and deliver (</w:t>
      </w:r>
      <w:r>
        <w:rPr>
          <w:rFonts w:cs="Arial Narrow" w:ascii="Arial Narrow" w:hAnsi="Arial Narrow"/>
          <w:b/>
        </w:rPr>
        <w:t>Seller</w:t>
      </w:r>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pPr>
      <w:r>
        <w:rPr>
          <w:rFonts w:eastAsia="Arial Narrow" w:cs="Arial Narrow" w:ascii="Arial Narrow" w:hAnsi="Arial Narrow"/>
        </w:rPr>
        <w:t xml:space="preserve">    </w:t>
      </w:r>
      <w:r>
        <w:rPr>
          <w:rFonts w:cs="Arial Narrow" w:ascii="Arial Narrow" w:hAnsi="Arial Narrow"/>
          <w:b/>
        </w:rPr>
        <w:t xml:space="preserve">TIER OF GAS:                                                                            </w:t>
      </w:r>
      <w:r>
        <w:rPr>
          <w:rFonts w:cs="Arial Narrow" w:ascii="Arial Narrow" w:hAnsi="Arial Narrow"/>
        </w:rPr>
        <w:t>Tier 4 – Firm with Penalty Language**</w:t>
      </w:r>
    </w:p>
    <w:p>
      <w:pPr>
        <w:pStyle w:val="Normal"/>
        <w:jc w:val="both"/>
        <w:rPr>
          <w:rFonts w:ascii="Arial Narrow" w:hAnsi="Arial Narrow" w:cs="Arial Narrow"/>
        </w:rPr>
      </w:pPr>
      <w:r>
        <w:rPr>
          <w:rFonts w:cs="Arial Narrow" w:ascii="Arial Narrow" w:hAnsi="Arial Narrow"/>
        </w:rPr>
      </w:r>
    </w:p>
    <w:tbl>
      <w:tblPr>
        <w:tblW w:w="10172" w:type="dxa"/>
        <w:jc w:val="start"/>
        <w:tblInd w:w="198" w:type="dxa"/>
        <w:tblLayout w:type="fixed"/>
        <w:tblCellMar>
          <w:top w:w="0" w:type="dxa"/>
          <w:start w:w="108" w:type="dxa"/>
          <w:bottom w:w="0" w:type="dxa"/>
          <w:end w:w="108" w:type="dxa"/>
        </w:tblCellMar>
      </w:tblPr>
      <w:tblGrid>
        <w:gridCol w:w="3690"/>
        <w:gridCol w:w="850"/>
        <w:gridCol w:w="3020"/>
        <w:gridCol w:w="721"/>
        <w:gridCol w:w="502"/>
        <w:gridCol w:w="374"/>
        <w:gridCol w:w="144"/>
        <w:gridCol w:w="286"/>
        <w:gridCol w:w="252"/>
        <w:gridCol w:w="331"/>
        <w:gridCol w:w="2"/>
      </w:tblGrid>
      <w:tr>
        <w:trPr/>
        <w:tc>
          <w:tcPr>
            <w:tcW w:w="4540" w:type="dxa"/>
            <w:gridSpan w:val="2"/>
            <w:tcBorders/>
          </w:tcPr>
          <w:p>
            <w:pPr>
              <w:pStyle w:val="Normal"/>
              <w:jc w:val="both"/>
              <w:rPr>
                <w:rFonts w:ascii="Arial Narrow" w:hAnsi="Arial Narrow" w:cs="Arial Narrow"/>
                <w:b/>
              </w:rPr>
            </w:pPr>
            <w:r>
              <w:rPr>
                <w:rFonts w:cs="Arial Narrow" w:ascii="Arial Narrow" w:hAnsi="Arial Narrow"/>
                <w:b/>
              </w:rPr>
              <w:t>DAILY CONTRACT QUANTITY (DCQ):</w:t>
            </w:r>
          </w:p>
        </w:tc>
        <w:tc>
          <w:tcPr>
            <w:tcW w:w="4243" w:type="dxa"/>
            <w:gridSpan w:val="3"/>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 xml:space="preserve">2,800 MMBtu’s Total for September 2000; </w:t>
            </w:r>
          </w:p>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4,350 MMBtu’s Total for October 2000;</w:t>
            </w:r>
          </w:p>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7,600 MMBtu’s Total for November 2000;</w:t>
            </w:r>
          </w:p>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7,600 MMBtu’s Total for December 2000;</w:t>
            </w:r>
          </w:p>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8,600 MMBtu’s Total for January 2001;</w:t>
            </w:r>
          </w:p>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8,900 MMBtu’s Total for February 2001;</w:t>
            </w:r>
          </w:p>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9,100 MMBtu’s Total for March 2001;</w:t>
            </w:r>
          </w:p>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5,700 MMBtu’s Total for April 2001;</w:t>
            </w:r>
          </w:p>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3,000 MMBtu’s Total for May 2001;</w:t>
            </w:r>
          </w:p>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2,700 MMBtu’s Total for June 2001;</w:t>
            </w:r>
          </w:p>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2,700 MMBtu’s Total for July 2001;</w:t>
            </w:r>
          </w:p>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2,750 MMBtu’s Total for August 2001;</w:t>
            </w:r>
          </w:p>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2,800 MMBtu’s Total for September 2001; and</w:t>
            </w:r>
          </w:p>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4,350 MMBtu’s Total for October 2001.</w:t>
            </w:r>
          </w:p>
          <w:p>
            <w:pPr>
              <w:pStyle w:val="Normal"/>
              <w:jc w:val="both"/>
              <w:rPr>
                <w:rFonts w:ascii="Arial Narrow" w:hAnsi="Arial Narrow" w:cs="Arial Narrow"/>
              </w:rPr>
            </w:pPr>
            <w:r>
              <w:rPr>
                <w:rFonts w:cs="Arial Narrow" w:ascii="Arial Narrow" w:hAnsi="Arial Narrow"/>
              </w:rPr>
            </w:r>
          </w:p>
        </w:tc>
        <w:tc>
          <w:tcPr>
            <w:tcW w:w="374" w:type="dxa"/>
            <w:tcBorders/>
          </w:tcPr>
          <w:p>
            <w:pPr>
              <w:pStyle w:val="Normal"/>
              <w:snapToGrid w:val="false"/>
              <w:jc w:val="both"/>
              <w:rPr>
                <w:rFonts w:ascii="Arial Narrow" w:hAnsi="Arial Narrow" w:cs="Arial Narrow"/>
              </w:rPr>
            </w:pPr>
            <w:r>
              <w:rPr>
                <w:rFonts w:cs="Arial Narrow" w:ascii="Arial Narrow" w:hAnsi="Arial Narrow"/>
              </w:rPr>
            </w:r>
          </w:p>
        </w:tc>
        <w:tc>
          <w:tcPr>
            <w:tcW w:w="682" w:type="dxa"/>
            <w:gridSpan w:val="3"/>
            <w:tcBorders/>
          </w:tcPr>
          <w:p>
            <w:pPr>
              <w:pStyle w:val="Normal"/>
              <w:snapToGrid w:val="false"/>
              <w:jc w:val="both"/>
              <w:rPr>
                <w:rFonts w:ascii="Arial Narrow" w:hAnsi="Arial Narrow" w:cs="Arial Narrow"/>
              </w:rPr>
            </w:pPr>
            <w:r>
              <w:rPr>
                <w:rFonts w:cs="Arial Narrow" w:ascii="Arial Narrow" w:hAnsi="Arial Narrow"/>
              </w:rPr>
            </w:r>
          </w:p>
        </w:tc>
        <w:tc>
          <w:tcPr>
            <w:tcW w:w="333"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540" w:type="dxa"/>
            <w:gridSpan w:val="2"/>
            <w:tcBorders/>
          </w:tcPr>
          <w:p>
            <w:pPr>
              <w:pStyle w:val="Normal"/>
              <w:jc w:val="both"/>
              <w:rPr>
                <w:rFonts w:ascii="Arial Narrow" w:hAnsi="Arial Narrow" w:cs="Arial Narrow"/>
                <w:b/>
              </w:rPr>
            </w:pPr>
            <w:r>
              <w:rPr>
                <w:rFonts w:cs="Arial Narrow" w:ascii="Arial Narrow" w:hAnsi="Arial Narrow"/>
                <w:b/>
              </w:rPr>
              <w:t>DELIVERY POINT(S):</w:t>
            </w:r>
          </w:p>
        </w:tc>
        <w:tc>
          <w:tcPr>
            <w:tcW w:w="4243" w:type="dxa"/>
            <w:gridSpan w:val="3"/>
            <w:tcBorders/>
          </w:tcPr>
          <w:p>
            <w:pPr>
              <w:pStyle w:val="Normal"/>
              <w:rPr>
                <w:rFonts w:ascii="Arial Narrow" w:hAnsi="Arial Narrow" w:cs="Arial Narrow"/>
              </w:rPr>
            </w:pPr>
            <w:r>
              <w:rPr>
                <w:rFonts w:cs="Arial Narrow" w:ascii="Arial Narrow" w:hAnsi="Arial Narrow"/>
              </w:rPr>
              <w:t>The interconnection between Seller’s source of supply and the natural gas distribution system of National Fuel Gas Distribution.</w:t>
            </w:r>
          </w:p>
          <w:p>
            <w:pPr>
              <w:pStyle w:val="Normal"/>
              <w:rPr>
                <w:rFonts w:ascii="Arial Narrow" w:hAnsi="Arial Narrow" w:cs="Arial Narrow"/>
              </w:rPr>
            </w:pPr>
            <w:r>
              <w:rPr>
                <w:rFonts w:cs="Arial Narrow" w:ascii="Arial Narrow" w:hAnsi="Arial Narrow"/>
              </w:rPr>
            </w:r>
          </w:p>
        </w:tc>
        <w:tc>
          <w:tcPr>
            <w:tcW w:w="374" w:type="dxa"/>
            <w:tcBorders/>
          </w:tcPr>
          <w:p>
            <w:pPr>
              <w:pStyle w:val="Normal"/>
              <w:snapToGrid w:val="false"/>
              <w:jc w:val="both"/>
              <w:rPr>
                <w:rFonts w:ascii="Arial Narrow" w:hAnsi="Arial Narrow" w:cs="Arial Narrow"/>
                <w:b/>
              </w:rPr>
            </w:pPr>
            <w:r>
              <w:rPr>
                <w:rFonts w:cs="Arial Narrow" w:ascii="Arial Narrow" w:hAnsi="Arial Narrow"/>
                <w:b/>
              </w:rPr>
            </w:r>
          </w:p>
        </w:tc>
        <w:tc>
          <w:tcPr>
            <w:tcW w:w="682" w:type="dxa"/>
            <w:gridSpan w:val="3"/>
            <w:tcBorders/>
          </w:tcPr>
          <w:p>
            <w:pPr>
              <w:pStyle w:val="Normal"/>
              <w:snapToGrid w:val="false"/>
              <w:jc w:val="both"/>
              <w:rPr>
                <w:rFonts w:ascii="Arial Narrow" w:hAnsi="Arial Narrow" w:cs="Arial Narrow"/>
                <w:b/>
              </w:rPr>
            </w:pPr>
            <w:r>
              <w:rPr>
                <w:rFonts w:cs="Arial Narrow" w:ascii="Arial Narrow" w:hAnsi="Arial Narrow"/>
                <w:b/>
              </w:rPr>
            </w:r>
          </w:p>
        </w:tc>
        <w:tc>
          <w:tcPr>
            <w:tcW w:w="333" w:type="dxa"/>
            <w:tcBorders/>
          </w:tcPr>
          <w:p>
            <w:pPr>
              <w:pStyle w:val="Normal"/>
              <w:snapToGrid w:val="false"/>
              <w:jc w:val="both"/>
              <w:rPr>
                <w:rFonts w:ascii="Arial Narrow" w:hAnsi="Arial Narrow" w:cs="Arial Narrow"/>
                <w:b/>
              </w:rPr>
            </w:pPr>
            <w:r>
              <w:rPr>
                <w:rFonts w:cs="Arial Narrow" w:ascii="Arial Narrow" w:hAnsi="Arial Narrow"/>
                <w:b/>
              </w:rPr>
            </w:r>
          </w:p>
        </w:tc>
      </w:tr>
      <w:tr>
        <w:trPr/>
        <w:tc>
          <w:tcPr>
            <w:tcW w:w="4540" w:type="dxa"/>
            <w:gridSpan w:val="2"/>
            <w:tcBorders/>
          </w:tcPr>
          <w:p>
            <w:pPr>
              <w:pStyle w:val="Normal"/>
              <w:jc w:val="both"/>
              <w:rPr>
                <w:rFonts w:ascii="Arial Narrow" w:hAnsi="Arial Narrow" w:cs="Arial Narrow"/>
                <w:b/>
              </w:rPr>
            </w:pPr>
            <w:r>
              <w:rPr>
                <w:rFonts w:cs="Arial Narrow" w:ascii="Arial Narrow" w:hAnsi="Arial Narrow"/>
                <w:b/>
              </w:rPr>
              <w:t>CONTRACT PRICE (PER MMBTU):</w:t>
            </w:r>
          </w:p>
        </w:tc>
        <w:tc>
          <w:tcPr>
            <w:tcW w:w="4243" w:type="dxa"/>
            <w:gridSpan w:val="3"/>
            <w:tcBorders/>
          </w:tcPr>
          <w:p>
            <w:pPr>
              <w:pStyle w:val="Normal"/>
              <w:rPr/>
            </w:pPr>
            <w:r>
              <w:rPr>
                <w:rFonts w:cs="Arial Narrow" w:ascii="Arial Narrow" w:hAnsi="Arial Narrow"/>
              </w:rPr>
              <w:t xml:space="preserve">The Contract Price per MMBtu, dry, to be paid by Buyer to Seller shall be the sum of (i) the price set forth in </w:t>
            </w:r>
            <w:r>
              <w:rPr>
                <w:rFonts w:cs="Arial Narrow" w:ascii="Arial Narrow" w:hAnsi="Arial Narrow"/>
                <w:u w:val="single"/>
              </w:rPr>
              <w:t>Gas Daily</w:t>
            </w:r>
            <w:r>
              <w:rPr>
                <w:rFonts w:cs="Arial Narrow" w:ascii="Arial Narrow" w:hAnsi="Arial Narrow"/>
              </w:rPr>
              <w:t xml:space="preserve"> (Pasha Publications, Inc.), or successor publication, in the first issue published on or about the first day of the delivery month in the column, “Monthly Contract Index” under the listing for Niagara, </w:t>
            </w:r>
            <w:r>
              <w:rPr>
                <w:rFonts w:cs="Arial Narrow" w:ascii="Arial Narrow" w:hAnsi="Arial Narrow"/>
                <w:u w:val="single"/>
              </w:rPr>
              <w:t>plus</w:t>
            </w:r>
            <w:r>
              <w:rPr>
                <w:rFonts w:cs="Arial Narrow" w:ascii="Arial Narrow" w:hAnsi="Arial Narrow"/>
              </w:rPr>
              <w:t xml:space="preserve"> </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eastAsia="Arial Narrow" w:cs="Arial Narrow" w:ascii="Arial Narrow" w:hAnsi="Arial Narrow"/>
              </w:rPr>
              <w:t xml:space="preserve">     </w:t>
            </w:r>
            <w:r>
              <w:rPr>
                <w:rFonts w:cs="Arial Narrow" w:ascii="Arial Narrow" w:hAnsi="Arial Narrow"/>
              </w:rPr>
              <w:t>$0.27 per MMBtu for the winter months (November through March); and</w:t>
            </w:r>
          </w:p>
          <w:p>
            <w:pPr>
              <w:pStyle w:val="Normal"/>
              <w:rPr>
                <w:rFonts w:ascii="Arial Narrow" w:hAnsi="Arial Narrow" w:cs="Arial Narrow"/>
              </w:rPr>
            </w:pPr>
            <w:r>
              <w:rPr>
                <w:rFonts w:eastAsia="Arial Narrow" w:cs="Arial Narrow" w:ascii="Arial Narrow" w:hAnsi="Arial Narrow"/>
              </w:rPr>
              <w:t xml:space="preserve">      </w:t>
            </w:r>
            <w:r>
              <w:rPr>
                <w:rFonts w:cs="Arial Narrow" w:ascii="Arial Narrow" w:hAnsi="Arial Narrow"/>
              </w:rPr>
              <w:t>$0.175 per MMBtu for the summer months (April through October).</w:t>
            </w:r>
          </w:p>
          <w:p>
            <w:pPr>
              <w:pStyle w:val="Normal"/>
              <w:tabs>
                <w:tab w:val="clear" w:pos="720"/>
                <w:tab w:val="left" w:pos="5580" w:leader="none"/>
              </w:tabs>
              <w:rPr>
                <w:rFonts w:ascii="Arial Narrow" w:hAnsi="Arial Narrow" w:cs="Arial Narrow"/>
              </w:rPr>
            </w:pPr>
            <w:r>
              <w:rPr>
                <w:rFonts w:eastAsia="Arial Narrow" w:cs="Arial Narrow" w:ascii="Arial Narrow" w:hAnsi="Arial Narrow"/>
                <w:b/>
              </w:rPr>
              <w:t xml:space="preserve">  </w:t>
            </w:r>
          </w:p>
        </w:tc>
        <w:tc>
          <w:tcPr>
            <w:tcW w:w="374" w:type="dxa"/>
            <w:tcBorders/>
          </w:tcPr>
          <w:p>
            <w:pPr>
              <w:pStyle w:val="Normal"/>
              <w:snapToGrid w:val="false"/>
              <w:jc w:val="both"/>
              <w:rPr>
                <w:rFonts w:ascii="Arial Narrow" w:hAnsi="Arial Narrow" w:cs="Arial Narrow"/>
                <w:b/>
              </w:rPr>
            </w:pPr>
            <w:r>
              <w:rPr>
                <w:rFonts w:cs="Arial Narrow" w:ascii="Arial Narrow" w:hAnsi="Arial Narrow"/>
                <w:b/>
              </w:rPr>
            </w:r>
          </w:p>
        </w:tc>
        <w:tc>
          <w:tcPr>
            <w:tcW w:w="682" w:type="dxa"/>
            <w:gridSpan w:val="3"/>
            <w:tcBorders/>
          </w:tcPr>
          <w:p>
            <w:pPr>
              <w:pStyle w:val="Normal"/>
              <w:snapToGrid w:val="false"/>
              <w:jc w:val="both"/>
              <w:rPr>
                <w:rFonts w:ascii="Arial Narrow" w:hAnsi="Arial Narrow" w:cs="Arial Narrow"/>
                <w:b/>
              </w:rPr>
            </w:pPr>
            <w:r>
              <w:rPr>
                <w:rFonts w:cs="Arial Narrow" w:ascii="Arial Narrow" w:hAnsi="Arial Narrow"/>
                <w:b/>
              </w:rPr>
            </w:r>
          </w:p>
        </w:tc>
        <w:tc>
          <w:tcPr>
            <w:tcW w:w="333" w:type="dxa"/>
            <w:tcBorders/>
          </w:tcPr>
          <w:p>
            <w:pPr>
              <w:pStyle w:val="Normal"/>
              <w:snapToGrid w:val="false"/>
              <w:jc w:val="both"/>
              <w:rPr>
                <w:rFonts w:ascii="Arial Narrow" w:hAnsi="Arial Narrow" w:cs="Arial Narrow"/>
                <w:b/>
              </w:rPr>
            </w:pPr>
            <w:r>
              <w:rPr>
                <w:rFonts w:cs="Arial Narrow" w:ascii="Arial Narrow" w:hAnsi="Arial Narrow"/>
                <w:b/>
              </w:rPr>
            </w:r>
          </w:p>
        </w:tc>
      </w:tr>
      <w:tr>
        <w:trPr/>
        <w:tc>
          <w:tcPr>
            <w:tcW w:w="4540" w:type="dxa"/>
            <w:gridSpan w:val="2"/>
            <w:tcBorders/>
          </w:tcPr>
          <w:p>
            <w:pPr>
              <w:pStyle w:val="Normal"/>
              <w:jc w:val="both"/>
              <w:rPr>
                <w:rFonts w:ascii="Arial Narrow" w:hAnsi="Arial Narrow" w:cs="Arial Narrow"/>
                <w:b/>
              </w:rPr>
            </w:pPr>
            <w:r>
              <w:rPr>
                <w:rFonts w:cs="Arial Narrow" w:ascii="Arial Narrow" w:hAnsi="Arial Narrow"/>
                <w:b/>
              </w:rPr>
              <w:t>PERIOD OF DELIVERY:</w:t>
            </w:r>
          </w:p>
        </w:tc>
        <w:tc>
          <w:tcPr>
            <w:tcW w:w="4243" w:type="dxa"/>
            <w:gridSpan w:val="3"/>
            <w:tcBorders/>
          </w:tcPr>
          <w:p>
            <w:pPr>
              <w:pStyle w:val="Normal"/>
              <w:jc w:val="both"/>
              <w:rPr>
                <w:rFonts w:ascii="Arial Narrow" w:hAnsi="Arial Narrow" w:cs="Arial Narrow"/>
                <w:b/>
              </w:rPr>
            </w:pPr>
            <w:r>
              <w:rPr>
                <w:rFonts w:cs="Arial Narrow" w:ascii="Arial Narrow" w:hAnsi="Arial Narrow"/>
              </w:rPr>
              <w:t>September 1, 2000 through October 31, 2001</w:t>
            </w:r>
          </w:p>
        </w:tc>
        <w:tc>
          <w:tcPr>
            <w:tcW w:w="374" w:type="dxa"/>
            <w:tcBorders/>
          </w:tcPr>
          <w:p>
            <w:pPr>
              <w:pStyle w:val="Normal"/>
              <w:snapToGrid w:val="false"/>
              <w:jc w:val="both"/>
              <w:rPr>
                <w:rFonts w:ascii="Arial Narrow" w:hAnsi="Arial Narrow" w:cs="Arial Narrow"/>
                <w:b/>
              </w:rPr>
            </w:pPr>
            <w:r>
              <w:rPr>
                <w:rFonts w:cs="Arial Narrow" w:ascii="Arial Narrow" w:hAnsi="Arial Narrow"/>
                <w:b/>
              </w:rPr>
            </w:r>
          </w:p>
        </w:tc>
        <w:tc>
          <w:tcPr>
            <w:tcW w:w="682" w:type="dxa"/>
            <w:gridSpan w:val="3"/>
            <w:tcBorders/>
          </w:tcPr>
          <w:p>
            <w:pPr>
              <w:pStyle w:val="Normal"/>
              <w:snapToGrid w:val="false"/>
              <w:jc w:val="both"/>
              <w:rPr>
                <w:rFonts w:ascii="Arial Narrow" w:hAnsi="Arial Narrow" w:cs="Arial Narrow"/>
                <w:b/>
              </w:rPr>
            </w:pPr>
            <w:r>
              <w:rPr>
                <w:rFonts w:cs="Arial Narrow" w:ascii="Arial Narrow" w:hAnsi="Arial Narrow"/>
                <w:b/>
              </w:rPr>
            </w:r>
          </w:p>
        </w:tc>
        <w:tc>
          <w:tcPr>
            <w:tcW w:w="333" w:type="dxa"/>
            <w:tcBorders/>
          </w:tcPr>
          <w:p>
            <w:pPr>
              <w:pStyle w:val="Normal"/>
              <w:snapToGrid w:val="false"/>
              <w:jc w:val="both"/>
              <w:rPr>
                <w:rFonts w:ascii="Arial Narrow" w:hAnsi="Arial Narrow" w:cs="Arial Narrow"/>
                <w:b/>
              </w:rPr>
            </w:pPr>
            <w:r>
              <w:rPr>
                <w:rFonts w:cs="Arial Narrow" w:ascii="Arial Narrow" w:hAnsi="Arial Narrow"/>
                <w:b/>
              </w:rPr>
            </w:r>
          </w:p>
        </w:tc>
      </w:tr>
      <w:tr>
        <w:trPr/>
        <w:tc>
          <w:tcPr>
            <w:tcW w:w="4540" w:type="dxa"/>
            <w:gridSpan w:val="2"/>
            <w:tcBorders/>
          </w:tcPr>
          <w:p>
            <w:pPr>
              <w:pStyle w:val="Normal"/>
              <w:snapToGrid w:val="false"/>
              <w:jc w:val="both"/>
              <w:rPr>
                <w:rFonts w:ascii="Arial Narrow" w:hAnsi="Arial Narrow" w:cs="Arial Narrow"/>
                <w:b/>
              </w:rPr>
            </w:pPr>
            <w:r>
              <w:rPr>
                <w:rFonts w:cs="Arial Narrow" w:ascii="Arial Narrow" w:hAnsi="Arial Narrow"/>
                <w:b/>
              </w:rPr>
            </w:r>
          </w:p>
        </w:tc>
        <w:tc>
          <w:tcPr>
            <w:tcW w:w="4243" w:type="dxa"/>
            <w:gridSpan w:val="3"/>
            <w:tcBorders/>
          </w:tcPr>
          <w:p>
            <w:pPr>
              <w:pStyle w:val="Normal"/>
              <w:snapToGrid w:val="false"/>
              <w:jc w:val="both"/>
              <w:rPr>
                <w:rFonts w:ascii="Arial Narrow" w:hAnsi="Arial Narrow" w:cs="Arial Narrow"/>
                <w:b/>
              </w:rPr>
            </w:pPr>
            <w:r>
              <w:rPr>
                <w:rFonts w:cs="Arial Narrow" w:ascii="Arial Narrow" w:hAnsi="Arial Narrow"/>
                <w:b/>
              </w:rPr>
            </w:r>
          </w:p>
        </w:tc>
        <w:tc>
          <w:tcPr>
            <w:tcW w:w="374" w:type="dxa"/>
            <w:tcBorders/>
          </w:tcPr>
          <w:p>
            <w:pPr>
              <w:pStyle w:val="Normal"/>
              <w:snapToGrid w:val="false"/>
              <w:jc w:val="both"/>
              <w:rPr>
                <w:rFonts w:ascii="Arial Narrow" w:hAnsi="Arial Narrow" w:cs="Arial Narrow"/>
                <w:sz w:val="12"/>
              </w:rPr>
            </w:pPr>
            <w:r>
              <w:rPr>
                <w:rFonts w:cs="Arial Narrow" w:ascii="Arial Narrow" w:hAnsi="Arial Narrow"/>
                <w:sz w:val="12"/>
              </w:rPr>
            </w:r>
          </w:p>
        </w:tc>
        <w:tc>
          <w:tcPr>
            <w:tcW w:w="682" w:type="dxa"/>
            <w:gridSpan w:val="3"/>
            <w:tcBorders/>
          </w:tcPr>
          <w:p>
            <w:pPr>
              <w:pStyle w:val="Normal"/>
              <w:snapToGrid w:val="false"/>
              <w:jc w:val="both"/>
              <w:rPr>
                <w:rFonts w:ascii="Arial Narrow" w:hAnsi="Arial Narrow" w:cs="Arial Narrow"/>
                <w:sz w:val="12"/>
              </w:rPr>
            </w:pPr>
            <w:r>
              <w:rPr>
                <w:rFonts w:cs="Arial Narrow" w:ascii="Arial Narrow" w:hAnsi="Arial Narrow"/>
                <w:sz w:val="12"/>
              </w:rPr>
            </w:r>
          </w:p>
        </w:tc>
        <w:tc>
          <w:tcPr>
            <w:tcW w:w="333" w:type="dxa"/>
            <w:tcBorders/>
          </w:tcPr>
          <w:p>
            <w:pPr>
              <w:pStyle w:val="Normal"/>
              <w:snapToGrid w:val="false"/>
              <w:jc w:val="both"/>
              <w:rPr>
                <w:rFonts w:ascii="Arial Narrow" w:hAnsi="Arial Narrow" w:cs="Arial Narrow"/>
                <w:sz w:val="12"/>
              </w:rPr>
            </w:pPr>
            <w:r>
              <w:rPr>
                <w:rFonts w:cs="Arial Narrow" w:ascii="Arial Narrow" w:hAnsi="Arial Narrow"/>
                <w:sz w:val="12"/>
              </w:rPr>
            </w:r>
          </w:p>
        </w:tc>
      </w:tr>
      <w:tr>
        <w:trPr/>
        <w:tc>
          <w:tcPr>
            <w:tcW w:w="3690" w:type="dxa"/>
            <w:tcBorders>
              <w:top w:val="double" w:sz="6" w:space="0" w:color="000000"/>
            </w:tcBorders>
          </w:tcPr>
          <w:p>
            <w:pPr>
              <w:pStyle w:val="Normal"/>
              <w:tabs>
                <w:tab w:val="clear" w:pos="720"/>
                <w:tab w:val="center" w:pos="10800" w:leader="none"/>
              </w:tabs>
              <w:snapToGrid w:val="false"/>
              <w:jc w:val="both"/>
              <w:rPr>
                <w:rFonts w:ascii="Arial Narrow" w:hAnsi="Arial Narrow" w:cs="Arial Narrow"/>
                <w:b/>
                <w:sz w:val="12"/>
              </w:rPr>
            </w:pPr>
            <w:r>
              <w:rPr>
                <w:rFonts w:cs="Arial Narrow" w:ascii="Arial Narrow" w:hAnsi="Arial Narrow"/>
                <w:b/>
                <w:sz w:val="12"/>
              </w:rPr>
            </w:r>
          </w:p>
        </w:tc>
        <w:tc>
          <w:tcPr>
            <w:tcW w:w="850" w:type="dxa"/>
            <w:tcBorders>
              <w:top w:val="double" w:sz="6" w:space="0" w:color="000000"/>
            </w:tcBorders>
          </w:tcPr>
          <w:p>
            <w:pPr>
              <w:pStyle w:val="Normal"/>
              <w:tabs>
                <w:tab w:val="clear" w:pos="720"/>
                <w:tab w:val="center" w:pos="10800" w:leader="none"/>
              </w:tabs>
              <w:snapToGrid w:val="false"/>
              <w:jc w:val="both"/>
              <w:rPr>
                <w:rFonts w:ascii="Arial Narrow" w:hAnsi="Arial Narrow" w:cs="Arial Narrow"/>
                <w:b/>
                <w:sz w:val="12"/>
              </w:rPr>
            </w:pPr>
            <w:r>
              <w:rPr>
                <w:rFonts w:cs="Arial Narrow" w:ascii="Arial Narrow" w:hAnsi="Arial Narrow"/>
                <w:b/>
                <w:sz w:val="12"/>
              </w:rPr>
            </w:r>
          </w:p>
        </w:tc>
        <w:tc>
          <w:tcPr>
            <w:tcW w:w="3020" w:type="dxa"/>
            <w:tcBorders>
              <w:top w:val="doub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1741" w:type="dxa"/>
            <w:gridSpan w:val="4"/>
            <w:tcBorders>
              <w:top w:val="double" w:sz="6" w:space="0" w:color="000000"/>
            </w:tcBorders>
          </w:tcPr>
          <w:p>
            <w:pPr>
              <w:pStyle w:val="Normal"/>
              <w:tabs>
                <w:tab w:val="clear" w:pos="720"/>
                <w:tab w:val="center" w:pos="10800" w:leader="none"/>
              </w:tabs>
              <w:snapToGrid w:val="false"/>
              <w:jc w:val="both"/>
              <w:rPr>
                <w:rFonts w:ascii="Arial Narrow" w:hAnsi="Arial Narrow" w:cs="Arial Narrow"/>
                <w:b/>
                <w:sz w:val="12"/>
              </w:rPr>
            </w:pPr>
            <w:r>
              <w:rPr>
                <w:rFonts w:cs="Arial Narrow" w:ascii="Arial Narrow" w:hAnsi="Arial Narrow"/>
                <w:b/>
                <w:sz w:val="12"/>
              </w:rPr>
            </w:r>
          </w:p>
        </w:tc>
        <w:tc>
          <w:tcPr>
            <w:tcW w:w="871" w:type="dxa"/>
            <w:gridSpan w:val="3"/>
            <w:tcBorders>
              <w:top w:val="double" w:sz="6" w:space="0" w:color="000000"/>
            </w:tcBorders>
          </w:tcPr>
          <w:p>
            <w:pPr>
              <w:pStyle w:val="Normal"/>
              <w:tabs>
                <w:tab w:val="clear" w:pos="720"/>
                <w:tab w:val="center" w:pos="10800" w:leader="none"/>
              </w:tabs>
              <w:snapToGrid w:val="false"/>
              <w:jc w:val="both"/>
              <w:rPr>
                <w:rFonts w:ascii="Arial Narrow" w:hAnsi="Arial Narrow" w:cs="Arial Narrow"/>
                <w:sz w:val="12"/>
              </w:rPr>
            </w:pPr>
            <w:r>
              <w:rPr>
                <w:rFonts w:cs="Arial Narrow" w:ascii="Arial Narrow" w:hAnsi="Arial Narrow"/>
                <w:sz w:val="12"/>
              </w:rPr>
            </w:r>
          </w:p>
        </w:tc>
      </w:tr>
      <w:tr>
        <w:trPr/>
        <w:tc>
          <w:tcPr>
            <w:tcW w:w="3690" w:type="dxa"/>
            <w:tcBorders/>
          </w:tcPr>
          <w:p>
            <w:pPr>
              <w:pStyle w:val="Normal"/>
              <w:tabs>
                <w:tab w:val="clear" w:pos="720"/>
                <w:tab w:val="center" w:pos="10800" w:leader="none"/>
              </w:tabs>
              <w:jc w:val="both"/>
              <w:rPr>
                <w:rFonts w:ascii="Arial Narrow" w:hAnsi="Arial Narrow" w:cs="Arial Narrow"/>
                <w:sz w:val="18"/>
              </w:rPr>
            </w:pPr>
            <w:r>
              <w:rPr>
                <w:rFonts w:cs="Arial Narrow" w:ascii="Arial Narrow" w:hAnsi="Arial Narrow"/>
                <w:b/>
                <w:sz w:val="18"/>
              </w:rPr>
              <w:t>CUSTOMER:</w:t>
            </w:r>
          </w:p>
        </w:tc>
        <w:tc>
          <w:tcPr>
            <w:tcW w:w="850" w:type="dxa"/>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302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b/>
                <w:sz w:val="18"/>
              </w:rPr>
              <w:t>COMPANY:</w:t>
            </w:r>
          </w:p>
        </w:tc>
        <w:tc>
          <w:tcPr>
            <w:tcW w:w="1741" w:type="dxa"/>
            <w:gridSpan w:val="4"/>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871" w:type="dxa"/>
            <w:gridSpan w:val="3"/>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tabs>
                <w:tab w:val="clear" w:pos="720"/>
                <w:tab w:val="center" w:pos="10800" w:leader="none"/>
              </w:tabs>
              <w:jc w:val="both"/>
              <w:rPr>
                <w:rFonts w:ascii="Arial Narrow" w:hAnsi="Arial Narrow" w:cs="Arial Narrow"/>
                <w:sz w:val="18"/>
              </w:rPr>
            </w:pPr>
            <w:r>
              <w:rPr>
                <w:rFonts w:cs="Arial Narrow" w:ascii="Arial Narrow" w:hAnsi="Arial Narrow"/>
                <w:sz w:val="18"/>
              </w:rPr>
              <w:t>Texaco Natural Gas, Inc.</w:t>
            </w:r>
          </w:p>
        </w:tc>
        <w:tc>
          <w:tcPr>
            <w:tcW w:w="850" w:type="dxa"/>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302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Enron Energy Services, Inc.</w:t>
            </w:r>
          </w:p>
        </w:tc>
        <w:tc>
          <w:tcPr>
            <w:tcW w:w="1741" w:type="dxa"/>
            <w:gridSpan w:val="4"/>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871" w:type="dxa"/>
            <w:gridSpan w:val="3"/>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jc w:val="both"/>
              <w:rPr>
                <w:rFonts w:ascii="Arial Narrow" w:hAnsi="Arial Narrow" w:cs="Arial Narrow"/>
                <w:sz w:val="18"/>
              </w:rPr>
            </w:pPr>
            <w:r>
              <w:rPr>
                <w:rFonts w:cs="Arial Narrow" w:ascii="Arial Narrow" w:hAnsi="Arial Narrow"/>
                <w:sz w:val="18"/>
              </w:rPr>
              <w:t>1111 Bagby St.</w:t>
            </w:r>
          </w:p>
        </w:tc>
        <w:tc>
          <w:tcPr>
            <w:tcW w:w="850" w:type="dxa"/>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302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1400 Smith Street</w:t>
            </w:r>
          </w:p>
        </w:tc>
        <w:tc>
          <w:tcPr>
            <w:tcW w:w="1741" w:type="dxa"/>
            <w:gridSpan w:val="4"/>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871" w:type="dxa"/>
            <w:gridSpan w:val="3"/>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tabs>
                <w:tab w:val="clear" w:pos="720"/>
                <w:tab w:val="center" w:pos="10800" w:leader="none"/>
              </w:tabs>
              <w:jc w:val="both"/>
              <w:rPr>
                <w:rFonts w:ascii="Arial Narrow" w:hAnsi="Arial Narrow" w:cs="Arial Narrow"/>
                <w:sz w:val="18"/>
              </w:rPr>
            </w:pPr>
            <w:r>
              <w:rPr>
                <w:rFonts w:cs="Arial Narrow" w:ascii="Arial Narrow" w:hAnsi="Arial Narrow"/>
                <w:sz w:val="18"/>
              </w:rPr>
              <w:t>Houston, TX 77002</w:t>
            </w:r>
          </w:p>
        </w:tc>
        <w:tc>
          <w:tcPr>
            <w:tcW w:w="850" w:type="dxa"/>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302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Houston, TX  77002</w:t>
            </w:r>
          </w:p>
        </w:tc>
        <w:tc>
          <w:tcPr>
            <w:tcW w:w="1741" w:type="dxa"/>
            <w:gridSpan w:val="4"/>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871" w:type="dxa"/>
            <w:gridSpan w:val="3"/>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tabs>
                <w:tab w:val="clear" w:pos="720"/>
                <w:tab w:val="center" w:pos="10800" w:leader="none"/>
              </w:tabs>
              <w:jc w:val="both"/>
              <w:rPr>
                <w:rFonts w:ascii="Arial Narrow" w:hAnsi="Arial Narrow" w:cs="Arial Narrow"/>
                <w:sz w:val="18"/>
              </w:rPr>
            </w:pPr>
            <w:r>
              <w:rPr>
                <w:rFonts w:cs="Arial Narrow" w:ascii="Arial Narrow" w:hAnsi="Arial Narrow"/>
                <w:sz w:val="18"/>
              </w:rPr>
              <w:t>Attn:  Gary Marchiori</w:t>
            </w:r>
          </w:p>
        </w:tc>
        <w:tc>
          <w:tcPr>
            <w:tcW w:w="850" w:type="dxa"/>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3020" w:type="dxa"/>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1741" w:type="dxa"/>
            <w:gridSpan w:val="4"/>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871" w:type="dxa"/>
            <w:gridSpan w:val="3"/>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tabs>
                <w:tab w:val="clear" w:pos="720"/>
                <w:tab w:val="center" w:pos="10800" w:leader="none"/>
              </w:tabs>
              <w:jc w:val="both"/>
              <w:rPr>
                <w:rFonts w:ascii="Arial Narrow" w:hAnsi="Arial Narrow" w:cs="Arial Narrow"/>
                <w:sz w:val="18"/>
              </w:rPr>
            </w:pPr>
            <w:r>
              <w:rPr>
                <w:rFonts w:cs="Arial Narrow" w:ascii="Arial Narrow" w:hAnsi="Arial Narrow"/>
                <w:sz w:val="18"/>
              </w:rPr>
              <w:t>Facsimile No.  (713) 752-7896</w:t>
            </w:r>
          </w:p>
        </w:tc>
        <w:tc>
          <w:tcPr>
            <w:tcW w:w="850" w:type="dxa"/>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3020" w:type="dxa"/>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1741" w:type="dxa"/>
            <w:gridSpan w:val="4"/>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871" w:type="dxa"/>
            <w:gridSpan w:val="3"/>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850" w:type="dxa"/>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3741" w:type="dxa"/>
            <w:gridSpan w:val="2"/>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1306" w:type="dxa"/>
            <w:gridSpan w:val="4"/>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583" w:type="dxa"/>
            <w:gridSpan w:val="2"/>
            <w:tcBorders/>
          </w:tcPr>
          <w:p>
            <w:pPr>
              <w:pStyle w:val="Normal"/>
              <w:tabs>
                <w:tab w:val="clear" w:pos="720"/>
                <w:tab w:val="center" w:pos="5400" w:leader="none"/>
                <w:tab w:val="left" w:pos="9000" w:leader="none"/>
              </w:tabs>
              <w:snapToGrid w:val="false"/>
              <w:jc w:val="both"/>
              <w:rPr>
                <w:rFonts w:ascii="Arial Narrow" w:hAnsi="Arial Narrow" w:cs="Arial Narrow"/>
                <w:sz w:val="12"/>
              </w:rPr>
            </w:pPr>
            <w:r>
              <w:rPr>
                <w:rFonts w:cs="Arial Narrow" w:ascii="Arial Narrow" w:hAnsi="Arial Narrow"/>
                <w:sz w:val="12"/>
              </w:rPr>
            </w:r>
          </w:p>
        </w:tc>
      </w:tr>
      <w:tr>
        <w:trPr/>
        <w:tc>
          <w:tcPr>
            <w:tcW w:w="3690" w:type="dxa"/>
            <w:tcBorders>
              <w:top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850" w:type="dxa"/>
            <w:tcBorders>
              <w:top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3741" w:type="dxa"/>
            <w:gridSpan w:val="2"/>
            <w:tcBorders>
              <w:top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1306" w:type="dxa"/>
            <w:gridSpan w:val="4"/>
            <w:tcBorders>
              <w:top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583" w:type="dxa"/>
            <w:gridSpan w:val="2"/>
            <w:tcBorders>
              <w:top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sz w:val="12"/>
              </w:rPr>
            </w:pPr>
            <w:r>
              <w:rPr>
                <w:rFonts w:cs="Arial Narrow" w:ascii="Arial Narrow" w:hAnsi="Arial Narrow"/>
                <w:sz w:val="12"/>
              </w:rPr>
            </w:r>
          </w:p>
        </w:tc>
      </w:tr>
      <w:tr>
        <w:trPr/>
        <w:tc>
          <w:tcPr>
            <w:tcW w:w="369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b/>
                <w:sz w:val="18"/>
              </w:rPr>
              <w:t>BILLING, INVOICES TO COMPANY:</w:t>
            </w:r>
          </w:p>
        </w:tc>
        <w:tc>
          <w:tcPr>
            <w:tcW w:w="850"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3741" w:type="dxa"/>
            <w:gridSpan w:val="2"/>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b/>
                <w:sz w:val="18"/>
              </w:rPr>
              <w:t>CONFIRMATIONS TO COMPANY:</w:t>
            </w:r>
          </w:p>
        </w:tc>
        <w:tc>
          <w:tcPr>
            <w:tcW w:w="1306" w:type="dxa"/>
            <w:gridSpan w:val="4"/>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583" w:type="dxa"/>
            <w:gridSpan w:val="2"/>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Enron Energy Services, Inc.</w:t>
            </w:r>
          </w:p>
        </w:tc>
        <w:tc>
          <w:tcPr>
            <w:tcW w:w="850"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3741" w:type="dxa"/>
            <w:gridSpan w:val="2"/>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Marde Driscoll  Telephone  (713) 853-9473</w:t>
            </w:r>
          </w:p>
        </w:tc>
        <w:tc>
          <w:tcPr>
            <w:tcW w:w="1306" w:type="dxa"/>
            <w:gridSpan w:val="4"/>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583" w:type="dxa"/>
            <w:gridSpan w:val="2"/>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1400 Smith Street</w:t>
            </w:r>
          </w:p>
        </w:tc>
        <w:tc>
          <w:tcPr>
            <w:tcW w:w="850"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3741" w:type="dxa"/>
            <w:gridSpan w:val="2"/>
            <w:tcBorders/>
          </w:tcPr>
          <w:p>
            <w:pPr>
              <w:pStyle w:val="Normal"/>
              <w:tabs>
                <w:tab w:val="clear" w:pos="720"/>
                <w:tab w:val="center" w:pos="5400" w:leader="none"/>
                <w:tab w:val="left" w:pos="9000" w:leader="none"/>
              </w:tabs>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Facsimile:  (713)  646-8860</w:t>
            </w:r>
          </w:p>
        </w:tc>
        <w:tc>
          <w:tcPr>
            <w:tcW w:w="1306" w:type="dxa"/>
            <w:gridSpan w:val="4"/>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583" w:type="dxa"/>
            <w:gridSpan w:val="2"/>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Houston, TX  77002</w:t>
            </w:r>
          </w:p>
        </w:tc>
        <w:tc>
          <w:tcPr>
            <w:tcW w:w="850"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3741" w:type="dxa"/>
            <w:gridSpan w:val="2"/>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b/>
                <w:sz w:val="18"/>
              </w:rPr>
              <w:t>NOTICE/COMMUNICATION TO COMPANY</w:t>
            </w:r>
          </w:p>
        </w:tc>
        <w:tc>
          <w:tcPr>
            <w:tcW w:w="1306" w:type="dxa"/>
            <w:gridSpan w:val="4"/>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583" w:type="dxa"/>
            <w:gridSpan w:val="2"/>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Attn:  Operational Accounting</w:t>
            </w:r>
          </w:p>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Facsimile No. (713) 646-2505</w:t>
            </w:r>
          </w:p>
        </w:tc>
        <w:tc>
          <w:tcPr>
            <w:tcW w:w="850"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3741" w:type="dxa"/>
            <w:gridSpan w:val="2"/>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 xml:space="preserve">Legal Services:   (713)  853-9714  </w:t>
            </w:r>
          </w:p>
          <w:p>
            <w:pPr>
              <w:pStyle w:val="Normal"/>
              <w:tabs>
                <w:tab w:val="clear" w:pos="720"/>
                <w:tab w:val="center" w:pos="5400" w:leader="none"/>
                <w:tab w:val="left" w:pos="9000" w:leader="none"/>
              </w:tabs>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Facsimile:  (713) 646-8860</w:t>
            </w:r>
          </w:p>
        </w:tc>
        <w:tc>
          <w:tcPr>
            <w:tcW w:w="1306" w:type="dxa"/>
            <w:gridSpan w:val="4"/>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583" w:type="dxa"/>
            <w:gridSpan w:val="2"/>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bottom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sz w:val="12"/>
              </w:rPr>
            </w:pPr>
            <w:r>
              <w:rPr>
                <w:rFonts w:cs="Arial Narrow" w:ascii="Arial Narrow" w:hAnsi="Arial Narrow"/>
                <w:sz w:val="12"/>
              </w:rPr>
            </w:r>
          </w:p>
        </w:tc>
        <w:tc>
          <w:tcPr>
            <w:tcW w:w="850" w:type="dxa"/>
            <w:tcBorders>
              <w:bottom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sz w:val="12"/>
              </w:rPr>
            </w:pPr>
            <w:r>
              <w:rPr>
                <w:rFonts w:cs="Arial Narrow" w:ascii="Arial Narrow" w:hAnsi="Arial Narrow"/>
                <w:sz w:val="12"/>
              </w:rPr>
            </w:r>
          </w:p>
        </w:tc>
        <w:tc>
          <w:tcPr>
            <w:tcW w:w="3741" w:type="dxa"/>
            <w:gridSpan w:val="2"/>
            <w:tcBorders>
              <w:bottom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sz w:val="12"/>
              </w:rPr>
            </w:pPr>
            <w:r>
              <w:rPr>
                <w:rFonts w:cs="Arial Narrow" w:ascii="Arial Narrow" w:hAnsi="Arial Narrow"/>
                <w:sz w:val="12"/>
              </w:rPr>
            </w:r>
          </w:p>
        </w:tc>
        <w:tc>
          <w:tcPr>
            <w:tcW w:w="1306" w:type="dxa"/>
            <w:gridSpan w:val="4"/>
            <w:tcBorders>
              <w:bottom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sz w:val="12"/>
              </w:rPr>
            </w:pPr>
            <w:r>
              <w:rPr>
                <w:rFonts w:cs="Arial Narrow" w:ascii="Arial Narrow" w:hAnsi="Arial Narrow"/>
                <w:sz w:val="12"/>
              </w:rPr>
            </w:r>
          </w:p>
        </w:tc>
        <w:tc>
          <w:tcPr>
            <w:tcW w:w="583" w:type="dxa"/>
            <w:gridSpan w:val="2"/>
            <w:tcBorders>
              <w:bottom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sz w:val="12"/>
              </w:rPr>
            </w:pPr>
            <w:r>
              <w:rPr>
                <w:rFonts w:cs="Arial Narrow" w:ascii="Arial Narrow" w:hAnsi="Arial Narrow"/>
                <w:sz w:val="12"/>
              </w:rPr>
            </w:r>
          </w:p>
        </w:tc>
      </w:tr>
    </w:tbl>
    <w:p>
      <w:pPr>
        <w:pStyle w:val="Normal"/>
        <w:jc w:val="both"/>
        <w:rPr>
          <w:rFonts w:ascii="Arial Narrow" w:hAnsi="Arial Narrow" w:cs="Arial Narrow"/>
          <w:sz w:val="16"/>
        </w:rPr>
      </w:pPr>
      <w:r>
        <w:rPr>
          <w:rFonts w:cs="Arial Narrow" w:ascii="Arial Narrow" w:hAnsi="Arial Narrow"/>
          <w:sz w:val="16"/>
        </w:rPr>
      </w:r>
    </w:p>
    <w:p>
      <w:pPr>
        <w:pStyle w:val="Normal"/>
        <w:rPr>
          <w:rFonts w:ascii="Arial Narrow" w:hAnsi="Arial Narrow" w:cs="Arial Narrow"/>
        </w:rPr>
      </w:pPr>
      <w:r>
        <w:rPr>
          <w:rFonts w:cs="Arial Narrow" w:ascii="Arial Narrow" w:hAnsi="Arial Narrow"/>
        </w:rPr>
        <w:t xml:space="preserve">Please confirm that the terms stated herein accurately reflect the agreement reached between you and Enron Energy Services, Inc., by returning an executed copy of this Confirmation by facsimile to Enron Energy Services, Inc.  Your response should reflect the appropriate Party in your </w:t>
      </w:r>
    </w:p>
    <w:p>
      <w:pPr>
        <w:pStyle w:val="Normal"/>
        <w:rPr/>
      </w:pPr>
      <w:r>
        <w:rPr>
          <w:rFonts w:cs="Arial Narrow" w:ascii="Arial Narrow" w:hAnsi="Arial Narrow"/>
        </w:rPr>
        <w:t>organization who has the authority to enter into this Transaction, and should be received by Enron no later than 5:00 P.M., Central Time on the first (1</w:t>
      </w:r>
      <w:r>
        <w:rPr>
          <w:rFonts w:cs="Arial Narrow" w:ascii="Arial Narrow" w:hAnsi="Arial Narrow"/>
          <w:vertAlign w:val="superscript"/>
        </w:rPr>
        <w:t>st</w:t>
      </w:r>
      <w:r>
        <w:rPr>
          <w:rFonts w:cs="Arial Narrow" w:ascii="Arial Narrow" w:hAnsi="Arial Narrow"/>
        </w:rPr>
        <w:t>) Business Day following the date first written above.  If you timely execute and return this Confirmation but fail to object in writing to the terms set forth in this Confirmation, or if you fail to timely return this Confirmation, the terms set forth in this Confirmation shall be deemed to have been accepted by you as written.  In the event you provide written objections to Enron, the terms set forth in this Confirmation shall not be accepted and there will be no Transaction under the above Master Purchase/Sale Agreement pursuant to this Confirmation, until mutually agreeable terms are reached.</w:t>
      </w:r>
    </w:p>
    <w:p>
      <w:pPr>
        <w:pStyle w:val="Normal"/>
        <w:jc w:val="both"/>
        <w:rPr>
          <w:rFonts w:ascii="Arial Narrow" w:hAnsi="Arial Narrow" w:cs="Arial Narrow"/>
          <w:sz w:val="16"/>
        </w:rPr>
      </w:pPr>
      <w:r>
        <w:rPr>
          <w:rFonts w:cs="Arial Narrow" w:ascii="Arial Narrow" w:hAnsi="Arial Narrow"/>
          <w:sz w:val="16"/>
        </w:rPr>
      </w:r>
    </w:p>
    <w:p>
      <w:pPr>
        <w:pStyle w:val="Normal"/>
        <w:jc w:val="both"/>
        <w:rPr>
          <w:b/>
        </w:rPr>
      </w:pPr>
      <w:r>
        <w:rPr>
          <w:b/>
        </w:rPr>
        <w:t>TEXACO NATURAL GAS, INC.</w:t>
        <w:tab/>
        <w:tab/>
        <w:tab/>
        <w:tab/>
        <w:tab/>
        <w:t>ENRON ENERGY SERVICES, INC.</w:t>
      </w:r>
    </w:p>
    <w:p>
      <w:pPr>
        <w:pStyle w:val="Normal"/>
        <w:jc w:val="both"/>
        <w:rPr>
          <w:b/>
        </w:rPr>
      </w:pPr>
      <w:r>
        <w:rPr>
          <w:b/>
        </w:rPr>
      </w:r>
    </w:p>
    <w:p>
      <w:pPr>
        <w:pStyle w:val="Normal"/>
        <w:jc w:val="both"/>
        <w:rPr>
          <w:b/>
        </w:rPr>
      </w:pPr>
      <w:r>
        <w:rPr>
          <w:b/>
        </w:rPr>
      </w:r>
    </w:p>
    <w:p>
      <w:pPr>
        <w:pStyle w:val="Normal"/>
        <w:jc w:val="both"/>
        <w:rPr/>
      </w:pPr>
      <w:r>
        <w:rPr/>
        <w:t>_____________________________________</w:t>
        <w:tab/>
        <w:tab/>
        <w:tab/>
        <w:t>_____________________________________</w:t>
      </w:r>
    </w:p>
    <w:p>
      <w:pPr>
        <w:pStyle w:val="Normal"/>
        <w:jc w:val="both"/>
        <w:rPr/>
      </w:pPr>
      <w:r>
        <w:rPr/>
        <w:t>Title:  ________________________________</w:t>
        <w:tab/>
        <w:tab/>
        <w:tab/>
        <w:t>Title:  ________________________________</w:t>
      </w:r>
    </w:p>
    <w:p>
      <w:pPr>
        <w:pStyle w:val="Normal"/>
        <w:jc w:val="both"/>
        <w:rPr/>
      </w:pPr>
      <w:r>
        <w:rPr/>
        <w:t>Date: ________________________________</w:t>
        <w:tab/>
        <w:tab/>
        <w:tab/>
        <w:t>Date: ________________________________</w:t>
      </w:r>
    </w:p>
    <w:p>
      <w:pPr>
        <w:pStyle w:val="Normal"/>
        <w:jc w:val="both"/>
        <w:rPr/>
      </w:pPr>
      <w:r>
        <w:rPr/>
      </w:r>
    </w:p>
    <w:p>
      <w:pPr>
        <w:pStyle w:val="Normal"/>
        <w:jc w:val="both"/>
        <w:rPr/>
      </w:pPr>
      <w:r>
        <w:rPr/>
      </w:r>
    </w:p>
    <w:p>
      <w:pPr>
        <w:pStyle w:val="Normal"/>
        <w:rPr/>
      </w:pPr>
      <w:r>
        <w:rPr/>
        <w:t>** Tier 4   Firm with Penalty:</w:t>
      </w:r>
    </w:p>
    <w:p>
      <w:pPr>
        <w:pStyle w:val="Normal"/>
        <w:rPr/>
      </w:pPr>
      <w:r>
        <w:rPr/>
      </w:r>
    </w:p>
    <w:p>
      <w:pPr>
        <w:pStyle w:val="Normal"/>
        <w:jc w:val="both"/>
        <w:rPr/>
      </w:pPr>
      <w:r>
        <w:rPr>
          <w:rFonts w:cs="Arial Narrow" w:ascii="Arial Narrow" w:hAnsi="Arial Narrow"/>
          <w:b/>
          <w:sz w:val="24"/>
          <w:u w:val="single"/>
        </w:rPr>
        <w:t>Firm Gas with Penalty Coverage</w:t>
      </w:r>
      <w:r>
        <w:rPr>
          <w:rFonts w:cs="Arial Narrow" w:ascii="Arial Narrow" w:hAnsi="Arial Narrow"/>
          <w:b/>
          <w:sz w:val="24"/>
        </w:rPr>
        <w:t>”</w:t>
      </w:r>
      <w:r>
        <w:rPr>
          <w:rFonts w:cs="Arial Narrow" w:ascii="Arial Narrow" w:hAnsi="Arial Narrow"/>
          <w:sz w:val="24"/>
        </w:rPr>
        <w:t xml:space="preserve">  -- subject hereto, both parties are firmly obligated to schedule the DCQ for a period less than or equal to one month with Seller providing penalty coverage. ).  </w:t>
      </w:r>
      <w:r>
        <w:rPr>
          <w:rFonts w:cs="Arial Narrow" w:ascii="Arial Narrow" w:hAnsi="Arial Narrow"/>
          <w:b/>
          <w:sz w:val="24"/>
          <w:u w:val="single"/>
        </w:rPr>
        <w:t>Tier 4  Firm Gas with Penalty Coverage.</w:t>
      </w:r>
      <w:r>
        <w:rPr>
          <w:rFonts w:cs="Arial Narrow" w:ascii="Arial Narrow" w:hAnsi="Arial Narrow"/>
          <w:sz w:val="24"/>
        </w:rPr>
        <w:t xml:space="preserve">   Each of Buyer and Seller shall have same performance obligations as set forth in Tier 3 Firm Gas, except, in the case of a Seller’s Deficiency Default, Seller shall, in addition to the payments set forth in such Section, pay directly, or reimburse Buyer for if Buyer has paid, any LDC penalties or cash outs assessed by the receiving LDC as result of Seller’s Deficiency Default.</w:t>
      </w:r>
    </w:p>
    <w:p>
      <w:pPr>
        <w:pStyle w:val="Normal"/>
        <w:jc w:val="both"/>
        <w:rPr>
          <w:rFonts w:ascii="Arial Narrow" w:hAnsi="Arial Narrow" w:cs="Arial Narrow"/>
          <w:b/>
          <w:sz w:val="24"/>
          <w:u w:val="single"/>
        </w:rPr>
      </w:pPr>
      <w:r>
        <w:rPr>
          <w:rFonts w:cs="Arial Narrow" w:ascii="Arial Narrow" w:hAnsi="Arial Narrow"/>
          <w:b/>
          <w:sz w:val="24"/>
          <w:u w:val="single"/>
        </w:rPr>
      </w:r>
    </w:p>
    <w:p>
      <w:pPr>
        <w:pStyle w:val="Normal"/>
        <w:jc w:val="both"/>
        <w:rPr/>
      </w:pPr>
      <w:r>
        <w:rPr>
          <w:b/>
          <w:u w:val="single"/>
        </w:rPr>
        <w:t>Tier 3 Firm Gas.</w:t>
      </w:r>
      <w:r>
        <w:rPr/>
        <w:t xml:space="preserve">   Each of Seller and Buyer shall schedule at the Delivery Point(s) each day on a firm basis a quantity of gas equal to the DCQ.  If on any day Seller fails to schedule the DCQ, then such occurrence shall constitute a "</w:t>
      </w:r>
      <w:r>
        <w:rPr>
          <w:u w:val="single"/>
        </w:rPr>
        <w:t>Seller's Deficiency Default</w:t>
      </w:r>
      <w:r>
        <w:rPr/>
        <w:t>" and "</w:t>
      </w:r>
      <w:r>
        <w:rPr>
          <w:u w:val="single"/>
        </w:rPr>
        <w:t>Seller's Deficiency Quantity</w:t>
      </w:r>
      <w:r>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u w:val="single"/>
        </w:rPr>
        <w:t>Buyer's Deficiency Default</w:t>
      </w:r>
      <w:r>
        <w:rPr/>
        <w:t>" and "</w:t>
      </w:r>
      <w:r>
        <w:rPr>
          <w:u w:val="single"/>
        </w:rPr>
        <w:t>Buyer's Deficiency Quantity</w:t>
      </w:r>
      <w:r>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u w:val="single"/>
        </w:rPr>
        <w:t>Replacement Price Differential</w:t>
      </w:r>
      <w:r>
        <w:rPr/>
        <w:t xml:space="preserve">" means (i) in the event of a Seller's Deficiency Default, the positive difference, if any, obtained by subtracting the Contract Price </w:t>
      </w:r>
      <w:r>
        <w:rPr>
          <w:u w:val="single"/>
        </w:rPr>
        <w:t>from</w:t>
      </w:r>
      <w:r>
        <w:rPr/>
        <w:t xml:space="preserve"> the Spot Price for the day in which the default occurred and (ii) in the event of a Buyer's Deficiency Default, the positive difference, if any, obtained by subtracting the Spot Price for the day in which the default occurred </w:t>
      </w:r>
      <w:r>
        <w:rPr>
          <w:u w:val="single"/>
        </w:rPr>
        <w:t>from</w:t>
      </w:r>
      <w:r>
        <w:rPr/>
        <w:t xml:space="preserve"> the Contract Price.  "</w:t>
      </w:r>
      <w:r>
        <w:rPr>
          <w:u w:val="single"/>
        </w:rPr>
        <w:t>Spot Price</w:t>
      </w:r>
      <w:r>
        <w:rPr/>
        <w:t xml:space="preserve">" means the price (or average of range of prices if no single price) set forth in </w:t>
      </w:r>
      <w:r>
        <w:rPr>
          <w:u w:val="single"/>
        </w:rPr>
        <w:t>Gas Daily</w:t>
      </w:r>
      <w:r>
        <w:rPr/>
        <w:t>® (Pasha Publications, Inc.), or successor publication, in the column "Daily Price Survey" under the listing applicable to the geographic location closest in proximity to the Delivery Point(s).</w:t>
      </w:r>
    </w:p>
    <w:p>
      <w:pPr>
        <w:pStyle w:val="Normal"/>
        <w:jc w:val="both"/>
        <w:rPr/>
      </w:pPr>
      <w:r>
        <w:rPr/>
      </w:r>
    </w:p>
    <w:sectPr>
      <w:type w:val="nextPage"/>
      <w:pgSz w:w="12240" w:h="15840"/>
      <w:pgMar w:left="864" w:right="864" w:gutter="0" w:header="0" w:top="1008"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WW8Num1z0">
    <w:name w:val="WW8Num1z0"/>
    <w:qFormat/>
    <w:rPr>
      <w:u w:val="single"/>
    </w:rPr>
  </w:style>
  <w:style w:type="character" w:styleId="WW8Num1z1">
    <w:name w:val="WW8Num1z1"/>
    <w:qFormat/>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2001-10-18T17:31:00Z</dcterms:created>
  <dc:creator>ees</dc:creator>
  <dc:description/>
  <dc:language>en-CA</dc:language>
  <cp:lastModifiedBy>cfinelli</cp:lastModifiedBy>
  <cp:lastPrinted>2000-11-09T13:44:00Z</cp:lastPrinted>
  <dcterms:modified xsi:type="dcterms:W3CDTF">2001-10-18T17:37:00Z</dcterms:modified>
  <cp:revision>3</cp:revision>
  <dc:subject/>
  <dc:title>ENFOLIO* "SPOT"  CONFIRMATION--ENFOLIO* "SPOT" GENERAL TERMS &amp; CONDITIONS GOVERN</dc:title>
</cp:coreProperties>
</file>