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540"/>
        </w:tabs>
        <w:jc w:val="both"/>
        <w:rPr>
          <w:rFonts w:ascii="Times New Roman" w:hAnsi="Times New Roman" w:cs="Times New Roman"/>
          <w:sz w:val="22"/>
        </w:rPr>
      </w:pPr>
      <w:r>
        <w:rPr>
          <w:rFonts w:cs="Times New Roman" w:ascii="Times New Roman" w:hAnsi="Times New Roman"/>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jc w:val="both"/>
        <w:rPr>
          <w:rFonts w:ascii="Times New Roman" w:hAnsi="Times New Roman" w:cs="Times New Roman"/>
          <w:sz w:val="22"/>
        </w:rPr>
      </w:pPr>
      <w:r>
        <w:rPr>
          <w:rFonts w:cs="Times New Roman" w:ascii="Times New Roman" w:hAnsi="Times New Roman"/>
          <w:sz w:val="22"/>
        </w:rPr>
        <w:t>TO:</w:t>
        <w:tab/>
        <w:tab/>
        <w:t>Mark Haedicke</w:t>
        <w:tab/>
        <w:tab/>
        <w:tab/>
        <w:tab/>
        <w:t>DATE:</w:t>
        <w:tab/>
        <w:tab/>
        <w:t>December 4, 20000</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jc w:val="both"/>
        <w:rPr>
          <w:rFonts w:ascii="Times New Roman" w:hAnsi="Times New Roman" w:cs="Times New Roman"/>
          <w:sz w:val="22"/>
        </w:rPr>
      </w:pPr>
      <w:r>
        <w:rPr>
          <w:rFonts w:cs="Times New Roman" w:ascii="Times New Roman" w:hAnsi="Times New Roman"/>
          <w:sz w:val="22"/>
        </w:rPr>
        <w:t>CC:</w:t>
        <w:tab/>
        <w:tab/>
        <w:t>Dave Delainey</w:t>
      </w:r>
    </w:p>
    <w:p>
      <w:pPr>
        <w:pStyle w:val="Normal"/>
        <w:tabs>
          <w:tab w:val="clear" w:pos="540"/>
        </w:tabs>
        <w:jc w:val="both"/>
        <w:rPr>
          <w:rFonts w:ascii="Times New Roman" w:hAnsi="Times New Roman" w:cs="Times New Roman"/>
          <w:b/>
          <w:sz w:val="22"/>
        </w:rPr>
      </w:pPr>
      <w:r>
        <w:rPr>
          <w:rFonts w:cs="Times New Roman" w:ascii="Times New Roman" w:hAnsi="Times New Roman"/>
          <w:sz w:val="22"/>
        </w:rPr>
        <w:tab/>
        <w:tab/>
        <w:t>John Lavorato</w:t>
      </w:r>
    </w:p>
    <w:p>
      <w:pPr>
        <w:pStyle w:val="Normal"/>
        <w:tabs>
          <w:tab w:val="clear" w:pos="540"/>
        </w:tabs>
        <w:jc w:val="both"/>
        <w:rPr>
          <w:rFonts w:ascii="Times New Roman" w:hAnsi="Times New Roman" w:cs="Times New Roman"/>
          <w:sz w:val="22"/>
        </w:rPr>
      </w:pPr>
      <w:r>
        <w:rPr>
          <w:rFonts w:cs="Times New Roman" w:ascii="Times New Roman" w:hAnsi="Times New Roman"/>
          <w:sz w:val="22"/>
        </w:rPr>
        <w:tab/>
        <w:tab/>
        <w:t>Janet Dietrich</w:t>
      </w:r>
    </w:p>
    <w:p>
      <w:pPr>
        <w:pStyle w:val="Normal"/>
        <w:tabs>
          <w:tab w:val="clear" w:pos="540"/>
        </w:tabs>
        <w:jc w:val="both"/>
        <w:rPr>
          <w:rFonts w:ascii="Times New Roman" w:hAnsi="Times New Roman" w:cs="Times New Roman"/>
          <w:sz w:val="22"/>
        </w:rPr>
      </w:pPr>
      <w:r>
        <w:rPr>
          <w:rFonts w:cs="Times New Roman" w:ascii="Times New Roman" w:hAnsi="Times New Roman"/>
          <w:sz w:val="22"/>
        </w:rPr>
        <w:tab/>
        <w:tab/>
        <w:t>Ozzie Pagan</w:t>
      </w:r>
    </w:p>
    <w:p>
      <w:pPr>
        <w:pStyle w:val="Normal"/>
        <w:tabs>
          <w:tab w:val="clear" w:pos="540"/>
        </w:tabs>
        <w:jc w:val="both"/>
        <w:rPr>
          <w:rFonts w:ascii="Times New Roman" w:hAnsi="Times New Roman" w:cs="Times New Roman"/>
          <w:sz w:val="22"/>
        </w:rPr>
      </w:pPr>
      <w:r>
        <w:rPr>
          <w:rFonts w:cs="Times New Roman" w:ascii="Times New Roman" w:hAnsi="Times New Roman"/>
          <w:sz w:val="22"/>
        </w:rPr>
        <w:tab/>
        <w:tab/>
        <w:t>Drew Tingleaf</w:t>
      </w:r>
    </w:p>
    <w:p>
      <w:pPr>
        <w:pStyle w:val="Normal"/>
        <w:tabs>
          <w:tab w:val="clear" w:pos="540"/>
        </w:tabs>
        <w:jc w:val="both"/>
        <w:rPr>
          <w:rFonts w:ascii="Times New Roman" w:hAnsi="Times New Roman" w:cs="Times New Roman"/>
          <w:sz w:val="22"/>
        </w:rPr>
      </w:pPr>
      <w:r>
        <w:rPr>
          <w:rFonts w:cs="Times New Roman" w:ascii="Times New Roman" w:hAnsi="Times New Roman"/>
          <w:sz w:val="22"/>
        </w:rPr>
        <w:tab/>
        <w:tab/>
        <w:t>Chip Schnieder</w:t>
      </w:r>
    </w:p>
    <w:p>
      <w:pPr>
        <w:pStyle w:val="Normal"/>
        <w:tabs>
          <w:tab w:val="clear" w:pos="540"/>
        </w:tabs>
        <w:jc w:val="both"/>
        <w:rPr>
          <w:rFonts w:ascii="Times New Roman" w:hAnsi="Times New Roman" w:cs="Times New Roman"/>
          <w:sz w:val="22"/>
        </w:rPr>
      </w:pPr>
      <w:r>
        <w:rPr>
          <w:rFonts w:cs="Times New Roman" w:ascii="Times New Roman" w:hAnsi="Times New Roman"/>
          <w:sz w:val="22"/>
        </w:rPr>
        <w:tab/>
        <w:tab/>
        <w:t>Sheila Tweed</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jc w:val="both"/>
        <w:rPr>
          <w:rFonts w:ascii="Times New Roman" w:hAnsi="Times New Roman" w:cs="Times New Roman"/>
          <w:sz w:val="22"/>
        </w:rPr>
      </w:pPr>
      <w:r>
        <w:rPr>
          <w:rFonts w:cs="Times New Roman" w:ascii="Times New Roman" w:hAnsi="Times New Roman"/>
          <w:sz w:val="22"/>
        </w:rPr>
        <w:t>FROM:</w:t>
        <w:tab/>
        <w:tab/>
        <w:t>Bob Carter</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hanging="1440" w:start="1440" w:end="0"/>
        <w:jc w:val="both"/>
        <w:rPr/>
      </w:pPr>
      <w:r>
        <w:rPr>
          <w:rFonts w:cs="Times New Roman" w:ascii="Times New Roman" w:hAnsi="Times New Roman"/>
          <w:sz w:val="22"/>
        </w:rPr>
        <w:t>SUBJECT:</w:t>
        <w:tab/>
        <w:t>Project Tex Mex HVDC Transmission Intertie - Participation Agreement ("</w:t>
      </w:r>
      <w:r>
        <w:rPr>
          <w:rFonts w:cs="Times New Roman" w:ascii="Times New Roman" w:hAnsi="Times New Roman"/>
          <w:sz w:val="22"/>
          <w:u w:val="single"/>
        </w:rPr>
        <w:t>Participation Agreement</w:t>
      </w:r>
      <w:r>
        <w:rPr>
          <w:rFonts w:cs="Times New Roman" w:ascii="Times New Roman" w:hAnsi="Times New Roman"/>
          <w:sz w:val="22"/>
        </w:rPr>
        <w:t>") with the Public Utilities Board of Brownsville, Texas ("</w:t>
      </w:r>
      <w:r>
        <w:rPr>
          <w:rFonts w:cs="Times New Roman" w:ascii="Times New Roman" w:hAnsi="Times New Roman"/>
          <w:sz w:val="22"/>
          <w:u w:val="single"/>
        </w:rPr>
        <w:t>BPUB</w:t>
      </w:r>
      <w:r>
        <w:rPr>
          <w:rFonts w:cs="Times New Roman" w:ascii="Times New Roman" w:hAnsi="Times New Roman"/>
          <w:sz w:val="22"/>
        </w:rPr>
        <w:t>") and Engineering, Procurement and Construction Contract ("</w:t>
      </w:r>
      <w:r>
        <w:rPr>
          <w:rFonts w:cs="Times New Roman" w:ascii="Times New Roman" w:hAnsi="Times New Roman"/>
          <w:sz w:val="22"/>
          <w:u w:val="single"/>
        </w:rPr>
        <w:t>EPC Contract</w:t>
      </w:r>
      <w:r>
        <w:rPr>
          <w:rFonts w:cs="Times New Roman" w:ascii="Times New Roman" w:hAnsi="Times New Roman"/>
          <w:sz w:val="22"/>
        </w:rPr>
        <w:t>") with ABB Power T &amp; D Company, Inc. ("</w:t>
      </w:r>
      <w:r>
        <w:rPr>
          <w:rFonts w:cs="Times New Roman" w:ascii="Times New Roman" w:hAnsi="Times New Roman"/>
          <w:sz w:val="22"/>
          <w:u w:val="single"/>
        </w:rPr>
        <w:t>ABB</w:t>
      </w:r>
      <w:r>
        <w:rPr>
          <w:rFonts w:cs="Times New Roman" w:ascii="Times New Roman" w:hAnsi="Times New Roman"/>
          <w:sz w:val="22"/>
        </w:rPr>
        <w:t>")</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jc w:val="both"/>
        <w:rPr/>
      </w:pPr>
      <w:r>
        <w:rPr>
          <w:rFonts w:cs="Times New Roman" w:ascii="Times New Roman" w:hAnsi="Times New Roman"/>
          <w:sz w:val="22"/>
        </w:rPr>
        <w:tab/>
        <w:tab/>
        <w:t xml:space="preserve">Legal Risk Memo – </w:t>
      </w:r>
      <w:r>
        <w:rPr>
          <w:rFonts w:cs="Times New Roman" w:ascii="Times New Roman" w:hAnsi="Times New Roman"/>
          <w:b/>
          <w:bCs/>
          <w:sz w:val="22"/>
        </w:rPr>
        <w:t>Legal Risk Rating = 2.5</w:t>
      </w:r>
    </w:p>
    <w:p>
      <w:pPr>
        <w:pStyle w:val="Normal"/>
        <w:pBdr>
          <w:bottom w:val="single" w:sz="6" w:space="1" w:color="000000"/>
        </w:pBdr>
        <w:tabs>
          <w:tab w:val="clear" w:pos="540"/>
        </w:tabs>
        <w:jc w:val="both"/>
        <w:rPr>
          <w:rFonts w:ascii="Times New Roman" w:hAnsi="Times New Roman" w:cs="Times New Roman"/>
          <w:b/>
          <w:bCs/>
          <w:sz w:val="22"/>
        </w:rPr>
      </w:pPr>
      <w:r>
        <w:rPr>
          <w:rFonts w:cs="Times New Roman" w:ascii="Times New Roman" w:hAnsi="Times New Roman"/>
          <w:b/>
          <w:bCs/>
          <w:sz w:val="22"/>
        </w:rPr>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jc w:val="both"/>
        <w:rPr>
          <w:rFonts w:ascii="Times New Roman" w:hAnsi="Times New Roman" w:cs="Times New Roman"/>
          <w:sz w:val="22"/>
        </w:rPr>
      </w:pPr>
      <w:r>
        <w:rPr>
          <w:rFonts w:cs="Times New Roman" w:ascii="Times New Roman" w:hAnsi="Times New Roman"/>
          <w:b/>
          <w:sz w:val="22"/>
          <w:u w:val="single"/>
        </w:rPr>
        <w:t>Description of Transaction</w:t>
      </w:r>
      <w:r>
        <w:rPr>
          <w:rFonts w:cs="Times New Roman" w:ascii="Times New Roman" w:hAnsi="Times New Roman"/>
          <w:b/>
          <w:sz w:val="22"/>
        </w:rPr>
        <w:t>.</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jc w:val="both"/>
        <w:rPr/>
      </w:pPr>
      <w:r>
        <w:rPr>
          <w:rFonts w:cs="Times New Roman" w:ascii="Times New Roman" w:hAnsi="Times New Roman"/>
        </w:rPr>
        <w:tab/>
        <w:t>In order to facilitate planned sales of merchant electricity in Mexico, ENA has entered into the Participation Agreement with BPUB and the EPC Contract with ABB.  These agreements will enable ENA to construct a high voltage direct current transmission intertie (the "</w:t>
      </w:r>
      <w:r>
        <w:rPr>
          <w:rFonts w:cs="Times New Roman" w:ascii="Times New Roman" w:hAnsi="Times New Roman"/>
          <w:u w:val="single"/>
        </w:rPr>
        <w:t>HVDC Tie</w:t>
      </w:r>
      <w:r>
        <w:rPr>
          <w:rFonts w:cs="Times New Roman" w:ascii="Times New Roman" w:hAnsi="Times New Roman"/>
        </w:rPr>
        <w:t>") and associated AC transmission lines in the vicinity of Brownsville, Texas.  The HVDC Tie will be capable of transmission of electricity from Texas to Mexico and from Mexico to Texas.</w:t>
      </w:r>
    </w:p>
    <w:p>
      <w:pPr>
        <w:pStyle w:val="Normal"/>
        <w:tabs>
          <w:tab w:val="clear" w:pos="540"/>
        </w:tabs>
        <w:jc w:val="both"/>
        <w:rPr>
          <w:rFonts w:ascii="Times New Roman" w:hAnsi="Times New Roman" w:cs="Times New Roman"/>
        </w:rPr>
      </w:pPr>
      <w:r>
        <w:rPr>
          <w:rFonts w:cs="Times New Roman" w:ascii="Times New Roman" w:hAnsi="Times New Roman"/>
        </w:rPr>
      </w:r>
    </w:p>
    <w:p>
      <w:pPr>
        <w:pStyle w:val="Normal"/>
        <w:tabs>
          <w:tab w:val="clear" w:pos="540"/>
        </w:tabs>
        <w:jc w:val="both"/>
        <w:rPr/>
      </w:pPr>
      <w:r>
        <w:rPr>
          <w:rFonts w:cs="Times New Roman" w:ascii="Times New Roman" w:hAnsi="Times New Roman"/>
        </w:rPr>
        <w:tab/>
        <w:t>ENA will finance and construct the HVDC Tie and associated improvements, which include AC transmission lines between (a) the HVDC Tie and the ERCOT transmission grid and (b) the HVDC Tie and the transmission system of Comisíon Federal de Electricidad in Mexico ("</w:t>
      </w:r>
      <w:r>
        <w:rPr>
          <w:rFonts w:cs="Times New Roman" w:ascii="Times New Roman" w:hAnsi="Times New Roman"/>
          <w:u w:val="single"/>
        </w:rPr>
        <w:t>CFE</w:t>
      </w:r>
      <w:r>
        <w:rPr>
          <w:rFonts w:cs="Times New Roman" w:ascii="Times New Roman" w:hAnsi="Times New Roman"/>
        </w:rPr>
        <w:t>").  Because the HVDC Tie will be a PUHCA jurisdictional utility upon commercial operation, the Participation Agreement provides that upon completion of construction, ENA will transfer ownership of the HVDC Tie to BPUB.  BPUB will thereafter own and operate the  HVDC Tie.  BPUB and ENA's designee, a special purpose entity formed for off-balance sheet financing purposes (the "</w:t>
      </w:r>
      <w:r>
        <w:rPr>
          <w:rFonts w:cs="Times New Roman" w:ascii="Times New Roman" w:hAnsi="Times New Roman"/>
          <w:u w:val="single"/>
        </w:rPr>
        <w:t>SPE</w:t>
      </w:r>
      <w:r>
        <w:rPr>
          <w:rFonts w:cs="Times New Roman" w:ascii="Times New Roman" w:hAnsi="Times New Roman"/>
        </w:rPr>
        <w:t>"), will enter into a transmission service agreement (the "</w:t>
      </w:r>
      <w:r>
        <w:rPr>
          <w:rFonts w:cs="Times New Roman" w:ascii="Times New Roman" w:hAnsi="Times New Roman"/>
          <w:u w:val="single"/>
        </w:rPr>
        <w:t>Transmission Agreement</w:t>
      </w:r>
      <w:r>
        <w:rPr>
          <w:rFonts w:cs="Times New Roman" w:ascii="Times New Roman" w:hAnsi="Times New Roman"/>
        </w:rPr>
        <w:t>") governed by a FERC open access tariff (the "</w:t>
      </w:r>
      <w:r>
        <w:rPr>
          <w:rFonts w:cs="Times New Roman" w:ascii="Times New Roman" w:hAnsi="Times New Roman"/>
          <w:u w:val="single"/>
        </w:rPr>
        <w:t>OATT</w:t>
      </w:r>
      <w:r>
        <w:rPr>
          <w:rFonts w:cs="Times New Roman" w:ascii="Times New Roman" w:hAnsi="Times New Roman"/>
        </w:rPr>
        <w:t>").  Under the Transmission Agreement, the SPE will be entitled to (a) 100% of the capacity of the HVDC Tie for a term of 25 years, and (b) a dollar-for-dollar credit for all of ENA's capital costs of constructing the HVDC Tie and related improvements against the capacity charge under the Transmission Agreement.  ENA intends that all of the transmission capacity will in turn be assigned by the SPE to EPMI.  Payment by EPMI to the SPE for the transmission capacity will be the means of paying off the financing of the HVDC Tie.</w:t>
      </w:r>
    </w:p>
    <w:p>
      <w:pPr>
        <w:pStyle w:val="Normal"/>
        <w:tabs>
          <w:tab w:val="clear" w:pos="540"/>
        </w:tabs>
        <w:jc w:val="both"/>
        <w:rPr>
          <w:rFonts w:ascii="Times New Roman" w:hAnsi="Times New Roman" w:cs="Times New Roman"/>
        </w:rPr>
      </w:pPr>
      <w:r>
        <w:rPr>
          <w:rFonts w:cs="Times New Roman" w:ascii="Times New Roman" w:hAnsi="Times New Roman"/>
        </w:rPr>
      </w:r>
    </w:p>
    <w:p>
      <w:pPr>
        <w:pStyle w:val="Normal"/>
        <w:tabs>
          <w:tab w:val="clear" w:pos="540"/>
        </w:tabs>
        <w:jc w:val="both"/>
        <w:rPr/>
      </w:pPr>
      <w:r>
        <w:rPr>
          <w:rFonts w:cs="Times New Roman" w:ascii="Times New Roman" w:hAnsi="Times New Roman"/>
          <w:b/>
          <w:u w:val="single"/>
        </w:rPr>
        <w:t>Discussion of Legal Risks and Mitigants</w:t>
      </w:r>
      <w:r>
        <w:rPr>
          <w:rFonts w:cs="Times New Roman" w:ascii="Times New Roman" w:hAnsi="Times New Roman"/>
          <w:b/>
        </w:rPr>
        <w:t>.</w:t>
      </w:r>
    </w:p>
    <w:p>
      <w:pPr>
        <w:pStyle w:val="Normal"/>
        <w:tabs>
          <w:tab w:val="clear" w:pos="540"/>
        </w:tabs>
        <w:jc w:val="both"/>
        <w:rPr>
          <w:rFonts w:ascii="Times New Roman" w:hAnsi="Times New Roman" w:cs="Times New Roman"/>
          <w:b/>
        </w:rPr>
      </w:pPr>
      <w:r>
        <w:rPr>
          <w:rFonts w:cs="Times New Roman" w:ascii="Times New Roman" w:hAnsi="Times New Roman"/>
          <w:b/>
        </w:rPr>
      </w:r>
    </w:p>
    <w:p>
      <w:pPr>
        <w:pStyle w:val="Normal"/>
        <w:tabs>
          <w:tab w:val="clear" w:pos="540"/>
        </w:tabs>
        <w:jc w:val="both"/>
        <w:rPr/>
      </w:pPr>
      <w:r>
        <w:rPr>
          <w:rFonts w:cs="Times New Roman" w:ascii="Times New Roman" w:hAnsi="Times New Roman"/>
        </w:rPr>
        <w:t>1.</w:t>
        <w:tab/>
      </w:r>
      <w:r>
        <w:rPr>
          <w:rFonts w:cs="Times New Roman" w:ascii="Times New Roman" w:hAnsi="Times New Roman"/>
          <w:u w:val="single"/>
        </w:rPr>
        <w:t>Assertion of Texas PUC jurisdiction with respect to open access requirements</w:t>
      </w:r>
      <w:r>
        <w:rPr>
          <w:rFonts w:cs="Times New Roman" w:ascii="Times New Roman" w:hAnsi="Times New Roman"/>
        </w:rPr>
        <w:t>.   Because the HVDC Tie will interconnect with a transmission system across an international boundary, we are required to obtain a Presidential Permit for construction of the HVDC Tie from the U.S. Department of Energy ("</w:t>
      </w:r>
      <w:r>
        <w:rPr>
          <w:rFonts w:cs="Times New Roman" w:ascii="Times New Roman" w:hAnsi="Times New Roman"/>
          <w:u w:val="single"/>
        </w:rPr>
        <w:t>DOE</w:t>
      </w:r>
      <w:r>
        <w:rPr>
          <w:rFonts w:cs="Times New Roman" w:ascii="Times New Roman" w:hAnsi="Times New Roman"/>
        </w:rPr>
        <w:t xml:space="preserve">").  DOE requires, as a condition of issuing the Presidential Permit, that the owner of such "border-crossing facilities" provide open access transmission service, and under proposed rulemaking has delegated to FERC the authority to implement and enforce the open access requirement.  FERC open access rules permit reservations of firm capacity for a 25-year period.  In contrast, the ERCOT ISO transmission tariff rules do not permit reservations of transmission capacity for periods greater than one year.  If the Texas PUC intervenes in the proceedings for issuance of the Presidential Permit and successfully asserts that the ERCOT ISO open access rules should be applied, our 25-year reservation of capacity under the Transmission Agreement will not be valid, jeopardizing our ability to finance the project. </w:t>
      </w:r>
    </w:p>
    <w:p>
      <w:pPr>
        <w:pStyle w:val="Normal"/>
        <w:tabs>
          <w:tab w:val="clear" w:pos="540"/>
        </w:tabs>
        <w:jc w:val="both"/>
        <w:rPr>
          <w:rFonts w:ascii="Times New Roman" w:hAnsi="Times New Roman" w:cs="Times New Roman"/>
        </w:rPr>
      </w:pPr>
      <w:r>
        <w:rPr>
          <w:rFonts w:cs="Times New Roman" w:ascii="Times New Roman" w:hAnsi="Times New Roman"/>
        </w:rPr>
      </w:r>
    </w:p>
    <w:p>
      <w:pPr>
        <w:pStyle w:val="Normal"/>
        <w:tabs>
          <w:tab w:val="clear" w:pos="540"/>
        </w:tabs>
        <w:jc w:val="both"/>
        <w:rPr/>
      </w:pPr>
      <w:r>
        <w:rPr>
          <w:rFonts w:cs="Times New Roman" w:ascii="Times New Roman" w:hAnsi="Times New Roman"/>
        </w:rPr>
        <w:tab/>
      </w:r>
      <w:r>
        <w:rPr>
          <w:rFonts w:cs="Times New Roman" w:ascii="Times New Roman" w:hAnsi="Times New Roman"/>
          <w:u w:val="single"/>
        </w:rPr>
        <w:t>Comments/Mitigants</w:t>
      </w:r>
      <w:r>
        <w:rPr>
          <w:rFonts w:cs="Times New Roman" w:ascii="Times New Roman" w:hAnsi="Times New Roman"/>
        </w:rPr>
        <w:t>.   Although this issue is not settled by established law, our regulatory counsel, Dan Watkiss of Bracewell &amp; Patterson, has opined that it is "highly unlikely" that the Texas PUC could successfully impose the ERCOT ISO open access rules to the HVDC Tie.  This position is supported by the analysis of the Texas regulatory specialist in Enron's internal regulatory group.  We also have consulted with both FERC and the office of regulatory policy at the Texas PUC, and explained our plans for this project, including our intention to file a FERC OATT and the 25-year reservation of capacity.  Both agencies support our plans for this project.  The Texas PUC indicated it would likely intervene, but only to attain information about the project.  In addition, we understand that in order to impose Texas PUC jurisdiction, the project necessarily would be subject to TCOS rules, which dictate that payment of the costs of construction of the project would be the responsibility of the ERCOT ISO.</w:t>
      </w:r>
    </w:p>
    <w:p>
      <w:pPr>
        <w:pStyle w:val="Normal"/>
        <w:tabs>
          <w:tab w:val="clear" w:pos="540"/>
        </w:tabs>
        <w:jc w:val="both"/>
        <w:rPr>
          <w:rFonts w:ascii="Times New Roman" w:hAnsi="Times New Roman" w:cs="Times New Roman"/>
        </w:rPr>
      </w:pPr>
      <w:r>
        <w:rPr>
          <w:rFonts w:cs="Times New Roman" w:ascii="Times New Roman" w:hAnsi="Times New Roman"/>
        </w:rPr>
      </w:r>
    </w:p>
    <w:p>
      <w:pPr>
        <w:pStyle w:val="Normal"/>
        <w:tabs>
          <w:tab w:val="clear" w:pos="540"/>
        </w:tabs>
        <w:jc w:val="both"/>
        <w:rPr/>
      </w:pPr>
      <w:r>
        <w:rPr>
          <w:rFonts w:cs="Times New Roman" w:ascii="Times New Roman" w:hAnsi="Times New Roman"/>
        </w:rPr>
        <w:t>2.</w:t>
        <w:tab/>
      </w:r>
      <w:r>
        <w:rPr>
          <w:rFonts w:cs="Times New Roman" w:ascii="Times New Roman" w:hAnsi="Times New Roman"/>
          <w:u w:val="single"/>
        </w:rPr>
        <w:t>BPUB performance risk; Remedies if BPUB fails or refuses to accept ownership of the HVDC Tie</w:t>
      </w:r>
      <w:r>
        <w:rPr>
          <w:rFonts w:cs="Times New Roman" w:ascii="Times New Roman" w:hAnsi="Times New Roman"/>
        </w:rPr>
        <w:t xml:space="preserve">.   If BPUB fails or refuses to accept ownership of the HVDC Tie, ENA's recourse against BPUB is limited.  ENA would not be able to own and operate the HVDC Tie and ENA would be able to sell the HVDC Tie only to another public utility (or municipal utility) that would be willing to undertake ownership of a PUHCA jurisdictional utility and perform BPUB's obligations under the Participation Agreement and the Transmission Agreement.  No indemnities were given by BPUB under the Participation Agreement due to limitations on a municipality's ability to create unfunded obligations.  It is not possible to obtain a judgment lien on public assets, making enforcement of any judgment against BPUB difficult.  </w:t>
      </w:r>
    </w:p>
    <w:p>
      <w:pPr>
        <w:pStyle w:val="Normal"/>
        <w:tabs>
          <w:tab w:val="clear" w:pos="540"/>
        </w:tabs>
        <w:jc w:val="both"/>
        <w:rPr>
          <w:rFonts w:ascii="Times New Roman" w:hAnsi="Times New Roman" w:cs="Times New Roman"/>
        </w:rPr>
      </w:pPr>
      <w:r>
        <w:rPr>
          <w:rFonts w:cs="Times New Roman" w:ascii="Times New Roman" w:hAnsi="Times New Roman"/>
        </w:rPr>
      </w:r>
    </w:p>
    <w:p>
      <w:pPr>
        <w:pStyle w:val="Normal"/>
        <w:tabs>
          <w:tab w:val="clear" w:pos="540"/>
        </w:tabs>
        <w:jc w:val="both"/>
        <w:rPr/>
      </w:pPr>
      <w:r>
        <w:rPr>
          <w:rFonts w:cs="Times New Roman" w:ascii="Times New Roman" w:hAnsi="Times New Roman"/>
        </w:rPr>
        <w:tab/>
      </w:r>
      <w:r>
        <w:rPr>
          <w:rFonts w:cs="Times New Roman" w:ascii="Times New Roman" w:hAnsi="Times New Roman"/>
          <w:u w:val="single"/>
        </w:rPr>
        <w:t>Comments/Mitigants</w:t>
      </w:r>
      <w:r>
        <w:rPr>
          <w:rFonts w:cs="Times New Roman" w:ascii="Times New Roman" w:hAnsi="Times New Roman"/>
        </w:rPr>
        <w:t>.  As a practical matter, BPUB's risk in this transaction is very low.  It incurs no construction costs and minimal construction risk, since it will not take ownership of the HVDC Tie until completion of construction, and after transfer will have the benefits of the warranties under the EPC Contract.  All of its O&amp;M expenses in operating the HVDC Tie are recoverable in the O&amp;M component of the capacity charge under the Transmission Agreement, which O&amp;M component is payable in cash on a monthly basis.  Further, if BPUB withdraws, it will forfeit an annual $800,000 "consulting" fee payable for a period of seven years.  Thus, BPUB has few, if any, disincentives to participating in this project.  In the Participation Agreement, BPUB is required to acquire and transfer to ENA the site for the HVDC Tie and rights-of-way for the associated AC transmission lines, which will permit ENA to convey all of the rights and interests necessary to own and operate the HVDC Tie to a third party.  Following transfer, if BPUB fails to perform, the Participation Agreement permits a non-defaulting party to cure defaults at the defaulting party's expense, which provides a self-help remedy to ENA in many circumstances, such as in the case of BPUB's failure to obtain rights-of-way and a site for the HVDC Tie converter station.</w:t>
      </w:r>
    </w:p>
    <w:p>
      <w:pPr>
        <w:pStyle w:val="Normal"/>
        <w:tabs>
          <w:tab w:val="clear" w:pos="540"/>
        </w:tabs>
        <w:jc w:val="both"/>
        <w:rPr>
          <w:rFonts w:ascii="Times New Roman" w:hAnsi="Times New Roman" w:cs="Times New Roman"/>
        </w:rPr>
      </w:pPr>
      <w:r>
        <w:rPr>
          <w:rFonts w:cs="Times New Roman" w:ascii="Times New Roman" w:hAnsi="Times New Roman"/>
        </w:rPr>
      </w:r>
    </w:p>
    <w:p>
      <w:pPr>
        <w:pStyle w:val="Normal"/>
        <w:tabs>
          <w:tab w:val="clear" w:pos="540"/>
        </w:tabs>
        <w:jc w:val="both"/>
        <w:rPr/>
      </w:pPr>
      <w:r>
        <w:rPr>
          <w:rFonts w:cs="Times New Roman" w:ascii="Times New Roman" w:hAnsi="Times New Roman"/>
        </w:rPr>
        <w:t>3.</w:t>
        <w:tab/>
      </w:r>
      <w:r>
        <w:rPr>
          <w:rFonts w:cs="Times New Roman" w:ascii="Times New Roman" w:hAnsi="Times New Roman"/>
          <w:u w:val="single"/>
        </w:rPr>
        <w:t>Ability of EPMI to resell excess transmission capacity at a rate higher than the tariff rate</w:t>
      </w:r>
      <w:r>
        <w:rPr>
          <w:rFonts w:cs="Times New Roman" w:ascii="Times New Roman" w:hAnsi="Times New Roman"/>
        </w:rPr>
        <w:t xml:space="preserve">. Our regulatory counsel has advised us that because BPUB is not subject to rate regulation by FERC, FERC restrictions on re-selling at a market rate greater than the OATT rate would not apply.  He remains of the opinion that the SPE or Brownsville could re-sell capacity originally sold to EPMI at a rate higher than the rate set forth in the OATT.  However, EPMI is subject to rate regulation.  It's rate schedule filed with the FERC pertaining to re-sale or assignment of transmission capacity contains the same language as that of the OATT, and limits the price for re-sale or assignment of transmission capacity at the higher of (a) the original transmission rate charged to EPMI, (b) the maximum rate under the tariff, or (c) EPMI's opportunity cost.  EPMI's FERC rate schedule further provides that before making any re-sale or assignment of transmission capacity at a price based on opportunity costs, EPMI must obtain FERC approval of such opportunity cost price.  According to our regulatory counsel, EPMI has made several requests of FERC to approve sales at opportunity cost prices which have been denied because the FERC was not convinced that a market rate could be determined to establish the opportunity cost.  </w:t>
      </w:r>
    </w:p>
    <w:p>
      <w:pPr>
        <w:pStyle w:val="Normal"/>
        <w:tabs>
          <w:tab w:val="clear" w:pos="540"/>
        </w:tabs>
        <w:jc w:val="both"/>
        <w:rPr>
          <w:rFonts w:ascii="Times New Roman" w:hAnsi="Times New Roman" w:cs="Times New Roman"/>
        </w:rPr>
      </w:pPr>
      <w:r>
        <w:rPr>
          <w:rFonts w:cs="Times New Roman" w:ascii="Times New Roman" w:hAnsi="Times New Roman"/>
        </w:rPr>
      </w:r>
    </w:p>
    <w:p>
      <w:pPr>
        <w:pStyle w:val="Normal"/>
        <w:tabs>
          <w:tab w:val="clear" w:pos="540"/>
        </w:tabs>
        <w:jc w:val="both"/>
        <w:rPr/>
      </w:pPr>
      <w:r>
        <w:rPr>
          <w:rFonts w:cs="Times New Roman" w:ascii="Times New Roman" w:hAnsi="Times New Roman"/>
        </w:rPr>
        <w:tab/>
      </w:r>
      <w:r>
        <w:rPr>
          <w:rFonts w:cs="Times New Roman" w:ascii="Times New Roman" w:hAnsi="Times New Roman"/>
          <w:u w:val="single"/>
        </w:rPr>
        <w:t>Comments/Mitigants</w:t>
      </w:r>
      <w:r>
        <w:rPr>
          <w:rFonts w:cs="Times New Roman" w:ascii="Times New Roman" w:hAnsi="Times New Roman"/>
        </w:rPr>
        <w:t>.  We are analyzing structuring alternatives for the re-sale of excess capacity by (a) having the SPE retain capacity not scheduled by EPMI, re-sell such excess capacity at EPMI's direction and remit the proceeds to EPMI, (b) having EPMI sell excess capacity at the tariff rate to another Enron-controlled entity that is not rate-regulated, whereupon that Enron-controlled entity sells such excess capacity at market rates, or (c) having EPMI sell excess capacity back to Brownsville at tariff rates, whereupon Brownsville will sell such excess capacity and remit the proceeds to EPMI or credit such sales against the O&amp;M component of the capacity charge payable by EPMI under the Transmission Agreement.  In addition, notwithstanding FERC's history of denying EPMI requests to re-sell capacity at market rates, there is some precedent for FERC granting such authority in the case of a transmission system like the HVDC Tie, in which the transmission service can only be between two points.  We are continuing to analyze this matter.</w:t>
      </w:r>
    </w:p>
    <w:p>
      <w:pPr>
        <w:pStyle w:val="Normal"/>
        <w:tabs>
          <w:tab w:val="clear" w:pos="540"/>
        </w:tabs>
        <w:jc w:val="both"/>
        <w:rPr>
          <w:rFonts w:ascii="Times New Roman" w:hAnsi="Times New Roman" w:cs="Times New Roman"/>
          <w:u w:val="single"/>
        </w:rPr>
      </w:pPr>
      <w:r>
        <w:rPr>
          <w:rFonts w:cs="Times New Roman" w:ascii="Times New Roman" w:hAnsi="Times New Roman"/>
          <w:u w:val="single"/>
        </w:rPr>
      </w:r>
    </w:p>
    <w:p>
      <w:pPr>
        <w:pStyle w:val="Normal"/>
        <w:tabs>
          <w:tab w:val="clear" w:pos="540"/>
        </w:tabs>
        <w:jc w:val="both"/>
        <w:rPr/>
      </w:pPr>
      <w:r>
        <w:rPr>
          <w:rFonts w:cs="Times New Roman" w:ascii="Times New Roman" w:hAnsi="Times New Roman"/>
        </w:rPr>
        <w:t>4.</w:t>
        <w:tab/>
      </w:r>
      <w:r>
        <w:rPr>
          <w:rFonts w:cs="Times New Roman" w:ascii="Times New Roman" w:hAnsi="Times New Roman"/>
          <w:u w:val="single"/>
        </w:rPr>
        <w:t>Completion Risk</w:t>
      </w:r>
      <w:r>
        <w:rPr>
          <w:rFonts w:cs="Times New Roman" w:ascii="Times New Roman" w:hAnsi="Times New Roman"/>
        </w:rPr>
        <w:t>.  Several matters that are not concluded could cause delay in the construction and subsequent commercial operation of the HVDC Tie.  These include issuance of the Presidential Permit and other permits, CFE's agreement to provide interconnection to the CFE grid, BPUB's obligation to obtain rights-of-way on a timely basis, ENA's and BPUB's agreement on network upgrades to BPUB's system that are deemed necessary as a result of construction of the HVDC Tie, and FERC of approval of the OATT.</w:t>
      </w:r>
    </w:p>
    <w:p>
      <w:pPr>
        <w:pStyle w:val="Normal"/>
        <w:tabs>
          <w:tab w:val="clear" w:pos="540"/>
        </w:tabs>
        <w:jc w:val="both"/>
        <w:rPr>
          <w:rFonts w:ascii="Times New Roman" w:hAnsi="Times New Roman" w:cs="Times New Roman"/>
        </w:rPr>
      </w:pPr>
      <w:r>
        <w:rPr>
          <w:rFonts w:cs="Times New Roman" w:ascii="Times New Roman" w:hAnsi="Times New Roman"/>
        </w:rPr>
      </w:r>
    </w:p>
    <w:p>
      <w:pPr>
        <w:pStyle w:val="Normal"/>
        <w:tabs>
          <w:tab w:val="clear" w:pos="540"/>
        </w:tabs>
        <w:jc w:val="both"/>
        <w:rPr/>
      </w:pPr>
      <w:r>
        <w:rPr>
          <w:rFonts w:cs="Times New Roman" w:ascii="Times New Roman" w:hAnsi="Times New Roman"/>
        </w:rPr>
        <w:tab/>
      </w:r>
      <w:r>
        <w:rPr>
          <w:rFonts w:cs="Times New Roman" w:ascii="Times New Roman" w:hAnsi="Times New Roman"/>
          <w:u w:val="single"/>
        </w:rPr>
        <w:t>Comment/Mitigants</w:t>
      </w:r>
      <w:r>
        <w:rPr>
          <w:rFonts w:cs="Times New Roman" w:ascii="Times New Roman" w:hAnsi="Times New Roman"/>
        </w:rPr>
        <w:t>.  Most of these matters are conventional commercial risks that are manageable.  Our regulatory counsel has researched approximately 78 past applications for Presidential Permits and found that none were rejected by DOE.  DOE staff has advised us that an environmental assessment and not an environmental impact statement (which is the more onerous of the two) will be satisfactory for this Presidential Permit.  DOE staff estimates that the time to issuance of this Presidential Permit is approximately six months after filing of the application, which should not delay the project construction schedule.</w:t>
      </w:r>
    </w:p>
    <w:p>
      <w:pPr>
        <w:pStyle w:val="Normal"/>
        <w:tabs>
          <w:tab w:val="clear" w:pos="540"/>
        </w:tabs>
        <w:jc w:val="both"/>
        <w:rPr>
          <w:rFonts w:ascii="Times New Roman" w:hAnsi="Times New Roman" w:cs="Times New Roman"/>
        </w:rPr>
      </w:pPr>
      <w:r>
        <w:rPr>
          <w:rFonts w:cs="Times New Roman" w:ascii="Times New Roman" w:hAnsi="Times New Roman"/>
        </w:rPr>
      </w:r>
    </w:p>
    <w:p>
      <w:pPr>
        <w:pStyle w:val="Normal"/>
        <w:tabs>
          <w:tab w:val="clear" w:pos="540"/>
        </w:tabs>
        <w:jc w:val="both"/>
        <w:rPr/>
      </w:pPr>
      <w:r>
        <w:rPr>
          <w:rFonts w:cs="Times New Roman" w:ascii="Times New Roman" w:hAnsi="Times New Roman"/>
        </w:rPr>
        <w:t>5.</w:t>
        <w:tab/>
      </w:r>
      <w:r>
        <w:rPr>
          <w:rFonts w:cs="Times New Roman" w:ascii="Times New Roman" w:hAnsi="Times New Roman"/>
          <w:u w:val="single"/>
        </w:rPr>
        <w:t xml:space="preserve">Construction Risk. </w:t>
      </w:r>
      <w:r>
        <w:rPr>
          <w:rFonts w:cs="Times New Roman" w:ascii="Times New Roman" w:hAnsi="Times New Roman"/>
        </w:rPr>
        <w:t xml:space="preserve"> Risk of non-performance by ABB under the EPC Contract or unavailability of the HVDC Tie after completion due to design or construction defects.</w:t>
      </w:r>
    </w:p>
    <w:p>
      <w:pPr>
        <w:pStyle w:val="Normal"/>
        <w:tabs>
          <w:tab w:val="clear" w:pos="540"/>
        </w:tabs>
        <w:jc w:val="both"/>
        <w:rPr>
          <w:rFonts w:ascii="Times New Roman" w:hAnsi="Times New Roman" w:cs="Times New Roman"/>
          <w:u w:val="single"/>
        </w:rPr>
      </w:pPr>
      <w:r>
        <w:rPr>
          <w:rFonts w:cs="Times New Roman" w:ascii="Times New Roman" w:hAnsi="Times New Roman"/>
          <w:u w:val="single"/>
        </w:rPr>
      </w:r>
    </w:p>
    <w:p>
      <w:pPr>
        <w:pStyle w:val="Normal"/>
        <w:tabs>
          <w:tab w:val="clear" w:pos="540"/>
        </w:tabs>
        <w:jc w:val="both"/>
        <w:rPr/>
      </w:pPr>
      <w:r>
        <w:rPr>
          <w:rFonts w:cs="Times New Roman" w:ascii="Times New Roman" w:hAnsi="Times New Roman"/>
        </w:rPr>
        <w:tab/>
      </w:r>
      <w:r>
        <w:rPr>
          <w:rFonts w:cs="Times New Roman" w:ascii="Times New Roman" w:hAnsi="Times New Roman"/>
          <w:u w:val="single"/>
        </w:rPr>
        <w:t>Comments/Mitigants</w:t>
      </w:r>
      <w:r>
        <w:rPr>
          <w:rFonts w:cs="Times New Roman" w:ascii="Times New Roman" w:hAnsi="Times New Roman"/>
        </w:rPr>
        <w:t>.  The EPC Contract provides for standard market warranties and liquidated damages up to 25% of the contract price, including liquidated damages for delay in completion and unavailability after completion.  The Participation Agreement with BPUB provides that after transfer of ownership of the HVDC Tie to BPUB, ENA remains entitled to payment of any liquidated damages payable by ABB under the EPC Contract.</w:t>
      </w:r>
    </w:p>
    <w:p>
      <w:pPr>
        <w:pStyle w:val="Normal"/>
        <w:tabs>
          <w:tab w:val="clear" w:pos="540"/>
        </w:tabs>
        <w:jc w:val="both"/>
        <w:rPr>
          <w:rFonts w:ascii="Times New Roman" w:hAnsi="Times New Roman" w:cs="Times New Roman"/>
        </w:rPr>
      </w:pPr>
      <w:r>
        <w:rPr>
          <w:rFonts w:cs="Times New Roman" w:ascii="Times New Roman" w:hAnsi="Times New Roman"/>
        </w:rPr>
      </w:r>
    </w:p>
    <w:p>
      <w:pPr>
        <w:pStyle w:val="Normal"/>
        <w:tabs>
          <w:tab w:val="clear" w:pos="540"/>
        </w:tabs>
        <w:jc w:val="both"/>
        <w:rPr/>
      </w:pPr>
      <w:r>
        <w:rPr>
          <w:rFonts w:cs="Times New Roman" w:ascii="Times New Roman" w:hAnsi="Times New Roman"/>
        </w:rPr>
        <w:t>6.</w:t>
        <w:tab/>
      </w:r>
      <w:r>
        <w:rPr>
          <w:rFonts w:cs="Times New Roman" w:ascii="Times New Roman" w:hAnsi="Times New Roman"/>
          <w:u w:val="single"/>
        </w:rPr>
        <w:t>Public Bidding Requirements</w:t>
      </w:r>
      <w:r>
        <w:rPr>
          <w:rFonts w:cs="Times New Roman" w:ascii="Times New Roman" w:hAnsi="Times New Roman"/>
        </w:rPr>
        <w:t>.  Potential claims that BPUB is required to solicit bids for this project through a competitive bidding process.</w:t>
      </w:r>
    </w:p>
    <w:p>
      <w:pPr>
        <w:pStyle w:val="Normal"/>
        <w:tabs>
          <w:tab w:val="clear" w:pos="540"/>
        </w:tabs>
        <w:jc w:val="both"/>
        <w:rPr>
          <w:rFonts w:ascii="Times New Roman" w:hAnsi="Times New Roman" w:cs="Times New Roman"/>
        </w:rPr>
      </w:pPr>
      <w:r>
        <w:rPr>
          <w:rFonts w:cs="Times New Roman" w:ascii="Times New Roman" w:hAnsi="Times New Roman"/>
        </w:rPr>
      </w:r>
    </w:p>
    <w:p>
      <w:pPr>
        <w:pStyle w:val="Normal"/>
        <w:tabs>
          <w:tab w:val="clear" w:pos="540"/>
        </w:tabs>
        <w:jc w:val="both"/>
        <w:rPr/>
      </w:pPr>
      <w:r>
        <w:rPr>
          <w:rFonts w:cs="Times New Roman" w:ascii="Times New Roman" w:hAnsi="Times New Roman"/>
        </w:rPr>
        <w:tab/>
      </w:r>
      <w:r>
        <w:rPr>
          <w:rFonts w:cs="Times New Roman" w:ascii="Times New Roman" w:hAnsi="Times New Roman"/>
          <w:u w:val="single"/>
        </w:rPr>
        <w:t>Comment/Mitigant</w:t>
      </w:r>
      <w:r>
        <w:rPr>
          <w:rFonts w:cs="Times New Roman" w:ascii="Times New Roman" w:hAnsi="Times New Roman"/>
        </w:rPr>
        <w:t xml:space="preserve">.   Section 163 of the Public Utilities Code permits a municipal utility to enter into arrangements for the joint development of transmission facilities with private entities that are engaged in the generation, transmission or distribution of electricity to the public.  Our counsel in this transaction, and our counsel in the recent transaction with the City of Austin, have opined that this statute should permit ENA to enter into joint developments of this nature without a competitive bidding process by the municipal utility.  In addition to Section 163 of the Public Utilities Code, the statute containing the competitive bidding requirement sets forth a number of exemptions from the requirement, including procurement of items available from only one source.  ABB is one of only two companies in the world from whom the technology to be used in the HVDC Tie is available, and we believe that ABB is the only one that could meet our schedule for completion of this project.  </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4</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jc w:val="cen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4</w:t>
                    </w:r>
                    <w:r>
                      <w:rPr>
                        <w:rStyle w:val="PageNumber"/>
                        <w:sz w:val="20"/>
                        <w:rFonts w:cs="Times New Roman" w:ascii="Times New Roman" w:hAnsi="Times New Roman"/>
                      </w:rPr>
                      <w:fldChar w:fldCharType="end"/>
                    </w:r>
                  </w:p>
                </w:txbxContent>
              </v:textbox>
              <w10:wrap type="square"/>
            </v:rect>
          </w:pict>
        </mc:Fallback>
      </mc:AlternateContent>
    </w:r>
  </w:p>
  <w:p>
    <w:pPr>
      <w:pStyle w:val="Footer"/>
      <w:rPr/>
    </w:pPr>
    <w:r>
      <w:rPr>
        <w:rFonts w:cs="Times New Roman" w:ascii="Times New Roman" w:hAnsi="Times New Roman"/>
        <w:sz w:val="14"/>
      </w:rPr>
      <w:t>o:\common\legal\bcarter\alpine\</w:t>
    </w:r>
    <w:r>
      <w:rPr>
        <w:rFonts w:cs="Times New Roman" w:ascii="Times New Roman" w:hAnsi="Times New Roman"/>
        <w:sz w:val="14"/>
      </w:rPr>
      <w:fldChar w:fldCharType="begin"/>
    </w:r>
    <w:r>
      <w:rPr>
        <w:sz w:val="14"/>
        <w:rFonts w:cs="Times New Roman" w:ascii="Times New Roman" w:hAnsi="Times New Roman"/>
      </w:rPr>
      <w:instrText xml:space="preserve"> FILENAME </w:instrText>
    </w:r>
    <w:r>
      <w:rPr>
        <w:sz w:val="14"/>
        <w:rFonts w:cs="Times New Roman" w:ascii="Times New Roman" w:hAnsi="Times New Roman"/>
      </w:rPr>
      <w:fldChar w:fldCharType="separate"/>
    </w:r>
    <w:r>
      <w:rPr>
        <w:sz w:val="14"/>
        <w:rFonts w:cs="Times New Roman" w:ascii="Times New Roman" w:hAnsi="Times New Roman"/>
      </w:rPr>
      <w:t>Tex_Mex_Risk_Memo_1-f07469724f886387dbb6f86c33475535825a46eb81b60bf3628d889bffae10e0.DOC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r>
  </w:p>
  <w:p>
    <w:pPr>
      <w:pStyle w:val="Footer"/>
      <w:rPr/>
    </w:pPr>
    <w:r>
      <w:rPr>
        <w:rFonts w:cs="Times New Roman" w:ascii="Times New Roman" w:hAnsi="Times New Roman"/>
        <w:sz w:val="14"/>
      </w:rPr>
      <w:t>o:\common\legal\bcarter\alpine\\</w:t>
    </w:r>
    <w:r>
      <w:rPr>
        <w:rFonts w:cs="Times New Roman" w:ascii="Times New Roman" w:hAnsi="Times New Roman"/>
        <w:sz w:val="14"/>
      </w:rPr>
      <w:fldChar w:fldCharType="begin"/>
    </w:r>
    <w:r>
      <w:rPr>
        <w:sz w:val="14"/>
        <w:rFonts w:cs="Times New Roman" w:ascii="Times New Roman" w:hAnsi="Times New Roman"/>
      </w:rPr>
      <w:instrText xml:space="preserve"> FILENAME </w:instrText>
    </w:r>
    <w:r>
      <w:rPr>
        <w:sz w:val="14"/>
        <w:rFonts w:cs="Times New Roman" w:ascii="Times New Roman" w:hAnsi="Times New Roman"/>
      </w:rPr>
      <w:fldChar w:fldCharType="separate"/>
    </w:r>
    <w:r>
      <w:rPr>
        <w:sz w:val="14"/>
        <w:rFonts w:cs="Times New Roman" w:ascii="Times New Roman" w:hAnsi="Times New Roman"/>
      </w:rPr>
      <w:t>Tex_Mex_Risk_Memo_1-f07469724f886387dbb6f86c33475535825a46eb81b60bf3628d889bffae10e0.DOC</w:t>
    </w:r>
    <w:r>
      <w:rPr>
        <w:sz w:val="1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bookmarkStart w:id="0" w:name="StartOfMemo"/>
    <w:bookmarkStart w:id="1" w:name="StartOfMemo"/>
    <w:bookmarkEnd w:id="1"/>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2107565</wp:posOffset>
              </wp:positionH>
              <wp:positionV relativeFrom="paragraph">
                <wp:posOffset>-449580</wp:posOffset>
              </wp:positionV>
              <wp:extent cx="5041265"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5041265" cy="658495"/>
                      </a:xfrm>
                      <a:prstGeom prst="rect"/>
                      <a:solidFill>
                        <a:srgbClr val="FFFFFF">
                          <a:alpha val="0"/>
                        </a:srgbClr>
                      </a:solidFill>
                    </wps:spPr>
                    <wps:txbx>
                      <w:txbxContent>
                        <w:p>
                          <w:pPr>
                            <w:pStyle w:val="Normal"/>
                            <w:tabs>
                              <w:tab w:val="clear" w:pos="540"/>
                              <w:tab w:val="left" w:pos="0" w:leader="none"/>
                            </w:tabs>
                            <w:ind w:end="-1096"/>
                            <w:rPr>
                              <w:rFonts w:ascii="Times New Roman" w:hAnsi="Times New Roman" w:cs="Times New Roman"/>
                              <w:b/>
                              <w:smallCaps/>
                              <w:sz w:val="32"/>
                            </w:rPr>
                          </w:pPr>
                          <w:r>
                            <w:rPr>
                              <w:rFonts w:cs="Times New Roman" w:ascii="Times New Roman" w:hAnsi="Times New Roman"/>
                              <w:b/>
                              <w:smallCaps/>
                              <w:sz w:val="32"/>
                            </w:rPr>
                          </w:r>
                        </w:p>
                        <w:p>
                          <w:pPr>
                            <w:pStyle w:val="Normal"/>
                            <w:tabs>
                              <w:tab w:val="clear" w:pos="540"/>
                              <w:tab w:val="left" w:pos="0" w:leader="none"/>
                            </w:tabs>
                            <w:ind w:end="-1096"/>
                            <w:rPr>
                              <w:rFonts w:ascii="Times New Roman" w:hAnsi="Times New Roman" w:cs="Times New Roman"/>
                              <w:b/>
                              <w:smallCaps/>
                              <w:sz w:val="28"/>
                            </w:rPr>
                          </w:pPr>
                          <w:r>
                            <w:rPr>
                              <w:rFonts w:cs="Times New Roman" w:ascii="Times New Roman" w:hAnsi="Times New Roman"/>
                              <w:b/>
                              <w:smallCaps/>
                              <w:sz w:val="28"/>
                            </w:rPr>
                            <w:t>PRIVILEGED AND CONFIDENTIAL</w:t>
                          </w:r>
                        </w:p>
                      </w:txbxContent>
                    </wps:txbx>
                    <wps:bodyPr anchor="t" lIns="0" tIns="0" rIns="0" bIns="0">
                      <a:noAutofit/>
                    </wps:bodyPr>
                  </wps:wsp>
                </a:graphicData>
              </a:graphic>
            </wp:anchor>
          </w:drawing>
        </mc:Choice>
        <mc:Fallback>
          <w:pict>
            <v:rect fillcolor="#FFFFFF" style="position:absolute;rotation:-0;width:396.95pt;height:51.85pt;mso-wrap-distance-left:9.35pt;mso-wrap-distance-right:9.35pt;mso-wrap-distance-top:0pt;mso-wrap-distance-bottom:0pt;margin-top:-35.4pt;mso-position-vertical-relative:text;margin-left:165.95pt;mso-position-horizontal-relative:page">
              <v:fill opacity="0f"/>
              <v:textbox inset="0in,0in,0in,0in">
                <w:txbxContent>
                  <w:p>
                    <w:pPr>
                      <w:pStyle w:val="Normal"/>
                      <w:tabs>
                        <w:tab w:val="clear" w:pos="540"/>
                        <w:tab w:val="left" w:pos="0" w:leader="none"/>
                      </w:tabs>
                      <w:ind w:end="-1096"/>
                      <w:rPr>
                        <w:rFonts w:ascii="Times New Roman" w:hAnsi="Times New Roman" w:cs="Times New Roman"/>
                        <w:b/>
                        <w:smallCaps/>
                        <w:sz w:val="32"/>
                      </w:rPr>
                    </w:pPr>
                    <w:r>
                      <w:rPr>
                        <w:rFonts w:cs="Times New Roman" w:ascii="Times New Roman" w:hAnsi="Times New Roman"/>
                        <w:b/>
                        <w:smallCaps/>
                        <w:sz w:val="32"/>
                      </w:rPr>
                    </w:r>
                  </w:p>
                  <w:p>
                    <w:pPr>
                      <w:pStyle w:val="Normal"/>
                      <w:tabs>
                        <w:tab w:val="clear" w:pos="540"/>
                        <w:tab w:val="left" w:pos="0" w:leader="none"/>
                      </w:tabs>
                      <w:ind w:end="-1096"/>
                      <w:rPr>
                        <w:rFonts w:ascii="Times New Roman" w:hAnsi="Times New Roman" w:cs="Times New Roman"/>
                        <w:b/>
                        <w:smallCaps/>
                        <w:sz w:val="28"/>
                      </w:rPr>
                    </w:pPr>
                    <w:r>
                      <w:rPr>
                        <w:rFonts w:cs="Times New Roman" w:ascii="Times New Roman" w:hAnsi="Times New Roman"/>
                        <w:b/>
                        <w:smallCaps/>
                        <w:sz w:val="28"/>
                      </w:rPr>
                      <w:t>PRIVILEGED AND 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2000-12-04T13:49:00Z</dcterms:created>
  <dc:creator>BobNJan</dc:creator>
  <dc:description/>
  <dc:language>en-CA</dc:language>
  <cp:lastModifiedBy>rcarter</cp:lastModifiedBy>
  <cp:lastPrinted>2000-12-04T18:58:00Z</cp:lastPrinted>
  <dcterms:modified xsi:type="dcterms:W3CDTF">2000-12-04T22:46:00Z</dcterms:modified>
  <cp:revision>38</cp:revision>
  <dc:subject/>
  <dc:title> </dc:title>
</cp:coreProperties>
</file>