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imes New Roman" w:hAnsi="Times New Roman" w:cs="Times New Roman"/>
          <w:b/>
          <w:spacing w:val="0"/>
        </w:rPr>
      </w:pPr>
      <w:r>
        <w:rPr>
          <w:rFonts w:cs="Times New Roman" w:ascii="Times New Roman" w:hAnsi="Times New Roman"/>
          <w:b/>
          <w:spacing w:val="0"/>
        </w:rPr>
        <w:t>Testimony of Chairman Alan Greenspan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0"/>
        </w:rPr>
      </w:pPr>
      <w:r>
        <w:rPr>
          <w:b/>
          <w:sz w:val="20"/>
        </w:rPr>
        <w:t>Federal Reserve Board’s semiannual monetary policy report to the Congress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0"/>
        </w:rPr>
      </w:pPr>
      <w:r>
        <w:rPr>
          <w:b/>
          <w:sz w:val="20"/>
        </w:rPr>
        <w:t>Before the Committee on Banking, Housing, and Urban Affairs, U.S. Senate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0"/>
        </w:rPr>
      </w:pPr>
      <w:r>
        <w:rPr>
          <w:b/>
          <w:sz w:val="20"/>
        </w:rPr>
        <w:t>February 13, 2001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/>
      </w:pPr>
      <w:r>
        <w:rPr>
          <w:sz w:val="20"/>
        </w:rPr>
        <w:t xml:space="preserve">(Available at: </w:t>
      </w:r>
      <w:hyperlink r:id="rId2">
        <w:r>
          <w:rPr>
            <w:rStyle w:val="Hyperlink"/>
          </w:rPr>
          <w:t>http://www.federalreserve.gov/boarddocs/hh/2001/February/Testimony.htm</w:t>
        </w:r>
      </w:hyperlink>
      <w:r>
        <w:rPr>
          <w:sz w:val="20"/>
        </w:rPr>
        <w:t>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 appreciate the opportunity this morning to present the Federal Reserve's semiannual report on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monetary policy. </w:t>
      </w:r>
    </w:p>
    <w:p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hAnsi="Times New Roman" w:cs="Times New Roman"/>
          <w:spacing w:val="0"/>
          <w:sz w:val="20"/>
        </w:rPr>
      </w:pPr>
      <w:r>
        <w:rPr>
          <w:rFonts w:cs="Times New Roman" w:ascii="Times New Roman" w:hAnsi="Times New Roman"/>
          <w:spacing w:val="0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past decade has been extraordinary for the American economy and monetary policy.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synergies of key technologies markedly elevated prospective rates of return on high-tech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investments, led to a surge in business capital spending, and significantly increased the underlying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growth rate of productivity. The capitalization of those higher expected returns boosted equity prices,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contributing to a substantial pickup in household spending on new homes, durable goods, and other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types of consumption generally, beyond even that implied by the enhanced rise in real incomes.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When I last reported to you in July, economic growth was just exhibiting initial signs of slowing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what had been an exceptionally rapid and unsustainable rate of increase that began a year earlier.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surge in spending had lifted the growth of the stocks of many types of consumer durable goods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and business capital equipment to rates that could not be continued. The elevated level of light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vehicle sales, for example, implied a rate of increase in the number of vehicles on the road hardly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sustainable for a mature industry. And even though demand for a number of high-tech products was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doubling or tripling annually, in many cases new supply was coming on even faster. Overall, capacity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high-tech manufacturing industries rose nearly 50 percent last year, well in excess of its rapid rate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of increase over the previous three years. Hence, a temporary glut in these industries and falling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prospective rates of return were inevitable at some point. Clearly, some slowing in the pace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spending was necessary and expected if the economy was to progress along a balanced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sustainable growth path.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  <w:highlight w:val="lightGray"/>
        </w:rPr>
        <w:t>But the adjustment has occurred much faster than most businesses anticipated, with the process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likely intensified by the rise in the cost of energy that has drained business and household purchasing</w:t>
      </w:r>
    </w:p>
    <w:p>
      <w:pPr>
        <w:pStyle w:val="Normal"/>
        <w:rPr/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power.</w:t>
      </w:r>
      <w:r>
        <w:rPr>
          <w:sz w:val="20"/>
        </w:rPr>
        <w:t xml:space="preserve"> Purchases of durable goods and investment in capital equipment declined in the fourth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quarter. Because the extent of the slowdown was not anticipated by businesses, it induced some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backup in inventories, despite the more advanced just-in-time technologies that have in recent years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enabled firms to adjust production levels more rapidly to changes in demand. Inventory-sales ratios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rose only moderately; but relative to the levels of these ratios implied by their downtrend over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past decade, the emerging imbalances appeared considerably larger. Reflecting these growing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imbalances, manufacturing purchasing managers reported last month that inventories in the hands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their customers had risen to excessively high levels.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As a result, a round of inventory rebalancing appears to be in progress. Accordingly, the slowdown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the economy that began in the middle of 2000 intensified, perhaps even to the point of growth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stalling out around the turn of the year. As the economy slowed, equity prices fell, especially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high-tech sector, where previous high valuations and optimistic forecasts were being reevaluated,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resulting in significant losses for some investors. In addition, lenders turned more cautious. This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tightening of financial conditions, itself, contributed to restraint on spending.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Against this background, the Federal Open Market Committee (FOMC) undertook a series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aggressive monetary policy steps. At its December meeting, the FOMC shifted its announced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assessment of the balance of risks to express concern about economic weakness, which encouraged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declines in market interest rates. Then on January 3, and again on January 31, the FOMC reduced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its targeted federal funds rate 1/2 percentage point, to its current level of 5-1/2 percent. An essential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precondition for this type of response was that underlying cost and price pressures remained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subdued, so that our front-loaded actions were unlikely to jeopardize the stable, low inflation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environment necessary to foster investment and advances in productivity.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exceptional weakness so evident in a number of economic indicators toward the end of last year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(perhaps in part the consequence of adverse weather) apparently did not continue in January. But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with signs of softness still patently in evidence at the time of its January meeting, the FOMC retained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its sense that the risks are weighted toward conditions that may generate economic weakness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foreseeable future.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Crucial to the assessment of the outlook and the understanding of recent policy actions is the role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technological change and productivity in shaping near-term cyclical forces as well as long-term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sustainable growth.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prospects for sustaining strong advances in productivity in the years ahead remain favorable. As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one would expect, productivity growth has slowed along with the economy. But what is notable is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that, during the second half of 2000, output per hour advanced at a pace sufficiently impressive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provide strong support for the view that the rate of growth of structural productivity remains well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above its pace of a decade ago.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Moreover, although recent short-term business profits have softened considerably, most corporate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managers appear not to have altered to any appreciable extent their long-standing optimism about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future returns from using new technology. A recent survey of purchasing managers suggests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wave of new on- line business-to-business activities is far from cresting. Corporate managers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more generally, rightly or wrongly, appear to remain remarkably sanguine about the potential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innovations to continue to enhance productivity and profits. At least this is what is gleaned from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projections of equity analysts, who, one must presume, obtain most of their insights from corporate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managers. According to one prominent survey, the three- to five-year average earnings projections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of more than a thousand analysts, though exhibiting some signs of diminishing in recent months,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generally held firm at a very high level. Such expectations, should they persist, bode well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continued strength in capital accumulation and sustained elevated growth of structural productivity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over the longer term.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same forces that have been boosting growth in structural productivity seem also to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accelerated the process of cyclical adjustment. Extraordinary improvements in business-to- business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communication have held unit costs in check, in part by greatly speeding up the flow of information.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New technologies for supply-chain management and flexible manufacturing imply that businesses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can perceive imbalances in inventories at a very early stage--virtually in real time--and can cut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production promptly in response to the developing signs of unintended inventory building.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Our most recent experience with some inventory backup, of course, suggests that surprises can still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occur and that this process is still evolving. Nonetheless, compared with the past, much progress is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evident. A couple of decades ago, inventory data would not have been available to most firms until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weeks had elapsed, delaying a response and, hence, eventually requiring even deeper cuts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production. In addition, the foreshortening of lead times on delivery of capital equipment, a result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information and other newer technologies, has engendered a more rapid adjustment of capital goods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production to shifts in demand that result from changes in firms' expectations of sales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profitability. A decade ago, extended backlogs on capital equipment meant a more stretched-out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process of production adjustments.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Even consumer spending decisions have become increasingly responsive to changes in the perceived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profitability of firms through their effects on the value of households' holdings of equities. Stock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market wealth has risen substantially relative to income in recent years -itself a reflection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extraordinary surge of innovation. As a consequence, changes in stock market wealth have become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 more important determinant of shifts in consumer spending relative to changes in current household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income than was the case just five to seven years ago.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hastening of the adjustment to emerging imbalances is generally beneficial. It means that those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imbalances are not allowed to build until they require very large corrections. But the faster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adjustment process does raise some warning flags. Although the newer technologies have clearly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allowed firms to make more informed decisions, business managers throughout the economy also are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likely responding to much of the same enhanced body of information. As a consequence, firms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appear to be acting in far closer alignment with one another than in decades past. The result is not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only a faster adjustment, but one that is potentially more synchronized, compressing changes into an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even shorter time frame.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This very rapidity with which the current adjustment is proceeding raises another concern, of a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different nature. While technology has quickened production adjustments, human nature remains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unaltered. We respond to a heightened pace of change and its associated uncertainty in the same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way we always have. We withdraw from action, postpone decisions, and generally hunker down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until a renewed, more comprehensible basis for acting emerges. In its extreme manifestation, many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economic decisionmakers not only become risk averse but attempt to disengage from all risk. This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precludes taking any initiative, because risk is inherent in every action. In the fall of 1998,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example, the desire for liquidity became so intense that financial markets seized up. Indeed, investors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even tended to shun risk-free, previously issued Treasury securities in favor of highly liquid, recently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issued Treasury securities.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But even when decisionmakers are only somewhat more risk averse, a process of retrenchment can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occur. Thus, although prospective long-term returns on new high-tech investment may change little,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increased uncertainty can induce a higher discount of those returns and, hence, a reduced willingness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to commit liquid resources to illiquid fixed investments.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Such a process presumably is now under way and arguably may take some time to run its course. It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is not that underlying demand for Internet, networking, and communications services has become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less keen. Instead, as I noted earlier, some suppliers seem to have reacted late to accelerating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demand, have overcompensated in response, and then have been forced to retrench -a not-unusual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occurrence in business decisionmaking.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 pace of change outstripping the ability of people to adjust is just as evident among consumers as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among business decisionmakers. When consumers become less secure in their jobs and finances,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they retrench as well.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It is difficult for economic policy to deal with the abruptness of a break in confidence. There may not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be a seamless transition from high to moderate to low confidence on the part of businesses,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investors, and consumers. Looking back at recent cyclical epi sodes, we see that the change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attitudes has often been sudden. In earlier testimony, I likened this process to water backing up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against a dam that is finally breached. The torrent carries with it most remnants of certainty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euphoria that built up in earlier periods.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This unpredictable rending of confidence is one reason that recessions are so difficult to forecast.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They may not be just changes in degree from a period of economic expansion, but a different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process engendered by fear. Our economic models have never been particularly successful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capturing a process driven in large part by nonrational behavior.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Although consumer confidence has fallen, at least for now it remains at a level that in the past was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consistent with economic growth. And as I pointed out earlier, expected earnings growth over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longer-run continues to be elevated. If the forces contributing to long-term productivity growth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remain intact, the degree of retrenchment will presumably be limited. Prospects for high productivity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growth should, with time, bolster both consumption and investment demand. Before long in this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scenario, excess inventories would be run off to desired levels.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Still, as the FOMC noted in its last announcement, for the period ahead, downside risks predominate.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addition to the possibility of a break in confidence, we don't know how far the adjustment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stocks of consumer durables and business capital equipment has come. Also, foreign economies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appear to be slowing, which could damp demands for exports; and, although some sectors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financial markets have improved in recent weeks, continued lender nervousness still is in evidence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other sectors.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Because the advanced supply-chain management and flexible manufacturing technologies may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quickened the pace of adjustment in production and incomes and correspondingly increased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stress on confidence, the Federal Reserve has seen the need to respond more aggressively than had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been our wont in earlier decades. Economic policymaking could not, and should not, remain unaltered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the face of major changes in the speed of economic processes. Fortunately, the very advances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technology that have quickened economic adjustments have also enhanced our capacity for real-time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surveillance.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  <w:highlight w:val="lightGray"/>
        </w:rPr>
        <w:t>As I pointed out earlier, demand has been depressed by the rise in energy prices as well as by the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needed slowing in the pace of accumulation of business capital and consumer durable assets. The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sharp rise in energy costs pressed down on profit margins still further in the fourth quarter. About a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quarter of the rise in total unit costs of nonfinancial, nonenergy corporations reflected a rise in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energy costs. The 12 percent rise in natural gas prices last quarter contributed directly, and indirectly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through its effects on the cost of electrical power generation, about one-fourth of the rise in overall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energy costs for nonfinancial, non-energy corporations; increases in oil prices accounted for the</w:t>
      </w:r>
    </w:p>
    <w:p>
      <w:pPr>
        <w:pStyle w:val="Normal"/>
        <w:rPr/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remainder.</w:t>
      </w:r>
      <w:r>
        <w:rPr>
          <w:sz w:val="20"/>
        </w:rPr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addition, a significant part of the margin squeeze not directly attributable to higher energy costs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probably has reflected the effects of the moderation in consumer outlays that, in turn, has been due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part to higher costs of energy, especially for natural gas. Hence, it is likely that energy cost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increases contributed significantly more to the deteriorating profitability of nonfinancial, non-energy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corporations in the fourth quarter than is suggested by the energy-related rise in total unit costs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alone.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  <w:highlight w:val="lightGray"/>
        </w:rPr>
        <w:t>To be sure, the higher energy expenses of households and most businesses represent a transfer of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income to producers of energy. But the capital investment of domestic energy producers, and, very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likely, consumption by their owners, have provided only a small offset to the constraining effects of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higher energy costs on spending by most Americans. Moreover, a significant part of the extra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expense is sent overseas to foreign energy producers, whose demand for exports from the United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States is unlikely to rise enough to compensate for the reduction in domestic spending, especially in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the short-run. Thus, given the evident inability of energy users, constrained by intense competition for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their own products, to pass on much of their cost increases, the effects of the rise in energy costs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does not appear to have had broad inflationary effects, in contrast to some previous episodes when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inflation expectations were not as well anchored. Rather, the most prominent effects have been to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depress aggregate demand. The recent decline in energy prices and further declines anticipated by</w:t>
      </w:r>
    </w:p>
    <w:p>
      <w:pPr>
        <w:pStyle w:val="Normal"/>
        <w:rPr>
          <w:sz w:val="20"/>
          <w:highlight w:val="lightGray"/>
        </w:rPr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futures markets, should they occur, would tend to boost purchasing power and be an important factor</w:t>
      </w:r>
    </w:p>
    <w:p>
      <w:pPr>
        <w:pStyle w:val="Normal"/>
        <w:rPr/>
      </w:pPr>
      <w:r>
        <w:rPr>
          <w:sz w:val="20"/>
          <w:highlight w:val="lightGray"/>
        </w:rPr>
        <w:t xml:space="preserve"> </w:t>
      </w:r>
      <w:r>
        <w:rPr>
          <w:sz w:val="20"/>
          <w:highlight w:val="lightGray"/>
        </w:rPr>
        <w:t>supporting a recovery in demand growth over coming quarters.</w:t>
      </w:r>
      <w:r>
        <w:rPr>
          <w:sz w:val="20"/>
        </w:rPr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Economic Projections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members of the Board of Governors and the Reserve Bank presidents foresee an implicit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strengthening of activity after the current rebalancing is over, although the central tendency of their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individual forecasts for real GDP still shows a substantial slowdown, on balance, for the year as a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whole. The central tendency for real GDP growth over the four quarters of this year is 2 to 2-1/2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percent. Because this average pace is below the rise in the economy's potential, they see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unemployment rate increasing to about 4-1/2 percent by the fourth quarter of this year. The central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tendency of their forecasts for inflation, as measured by the prices for personal consumption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expenditures, suggests an abatement to 1-3/4 to 2-1/4 percent over this year from 2-1/2 percent over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2000.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Government Debt Repayment and the Implementation of Monetary Policy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Federal budget surpluses have bolstered national saving, providing additional resources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investment and, hence, contributing to the rise in the capital stock and our standards of living.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However, the prospective decline in Treasury debt outstanding implied by projected federal budget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surpluses does pose a challenge to the implementation of monetary policy. The Federal Reserve has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relied almost exclusively on increments to its outright holdings of Treasury securities as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"permanent" asset counterpart to the uptrend in currency in circulation, our primary liability. Because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market for Treasury securities is going to become much less deep and liquid if outstanding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supplies shrink as projected, we will have to turn to acceptable substitutes. Last year the Federal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Reserve System initiated a study of alternative approaches to managing our portfolio.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At its late January meeting, the FOMC discussed this issue at length, and it is taking several steps to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help better position the Federal Reserve to address the alternatives. First, as announced on January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31, the Committee extended the temporary authority, in effect since late August 1999, for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Trading Desk at the Federal Reserve Bank of New York to conduct repurchase agreements in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mortgage-backed securities guaranteed by the agencies as well as in Treasuries and direct agency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debt. Thus, for the time being, the Desk will continue to rely on the same types of temporary open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market operations in use for the past year and a half to offset transitory factors affecting reserve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availability.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Second, the FOMC is examining the possibility of beginning to acquire under repurchase agreements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some additional assets that the Federal Reserve Act already authorizes the Federal Reserve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purchase. In particular, the FOMC asked the staff to explore the possible mechanisms for backing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our usual repurchase operations with the collateral of certain debt obligations of U.S. states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foreign governments. We will also be consulting with the Congress on these possible steps before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the FOMC further considers such transactions. Taking such assets in repurchase operations would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significantly expand and diversify the assets our counterparties could post in temporary open market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operations, reducing the potential for any impact on the pricing of private sector instruments.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Finally, the FOMC decided to study further the even longer- term issue of whether it will ultimately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be necessary to expand the use of the discount window or to request the Congress for a broadening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of its statutory authority for acquiring assets via open market operations. How quickly the FOMC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will need to address these longer-run portfolio choices will depend on how quickly the supply of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Treasury securities declines as well as the usefulness of the alternative assets already authorized by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law.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 summary, although a reduced availability of Treasury securities will require adjustments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particular form of our open market operations, there is no reason to believe that we will be unable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implement policy as required. 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120"/>
      <w:outlineLvl w:val="2"/>
    </w:pPr>
    <w:rPr>
      <w:rFonts w:ascii="Garamond" w:hAnsi="Garamond" w:cs="Garamond"/>
      <w:i/>
      <w:spacing w:val="-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pacing w:val="-4"/>
      <w:sz w:val="20"/>
      <w:szCs w:val="20"/>
      <w:lang w:val="en-US" w:eastAsia="zh-CN" w:bidi="hi-IN"/>
    </w:rPr>
  </w:style>
  <w:style w:type="paragraph" w:styleId="BodyText2">
    <w:name w:val="Body Text 2"/>
    <w:basedOn w:val="Normal"/>
    <w:qFormat/>
    <w:pPr/>
    <w:rPr>
      <w:rFonts w:ascii="Garamond" w:hAnsi="Garamond" w:cs="Garamond"/>
      <w:color w:val="FF0000"/>
      <w:spacing w:val="-4"/>
      <w:sz w:val="20"/>
    </w:rPr>
  </w:style>
  <w:style w:type="paragraph" w:styleId="BodyText3">
    <w:name w:val="Body Text 3"/>
    <w:basedOn w:val="Normal"/>
    <w:qFormat/>
    <w:pPr/>
    <w:rPr>
      <w:rFonts w:ascii="Garamond" w:hAnsi="Garamond" w:cs="Garamond"/>
      <w:color w:val="000000"/>
      <w:spacing w:val="-4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deralreserve.gov/boarddocs/hh/2001/February/Testimony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2001-02-13T13:23:00Z</dcterms:created>
  <dc:creator>gkoepke</dc:creator>
  <dc:description/>
  <dc:language>en-CA</dc:language>
  <cp:lastModifiedBy>gkoepke</cp:lastModifiedBy>
  <dcterms:modified xsi:type="dcterms:W3CDTF">2001-02-13T13:33:00Z</dcterms:modified>
  <cp:revision>1</cp:revision>
  <dc:subject/>
  <dc:title>Testimony of Chairman Alan Greenspan</dc:title>
</cp:coreProperties>
</file>