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exact" w:line="280"/>
        <w:ind w:hanging="0" w:start="0"/>
        <w:rPr/>
      </w:pPr>
      <w:r>
        <w:rPr/>
        <w:t>Kern River Pipeline</w:t>
      </w:r>
    </w:p>
    <w:p>
      <w:pPr>
        <w:pStyle w:val="Normal"/>
        <w:spacing w:lineRule="exact" w:line="280"/>
        <w:rPr/>
      </w:pPr>
      <w:r>
        <w:rPr/>
      </w:r>
    </w:p>
    <w:p>
      <w:pPr>
        <w:pStyle w:val="Normal"/>
        <w:spacing w:lineRule="exact" w:line="280"/>
        <w:rPr/>
      </w:pPr>
      <w:r>
        <w:rPr>
          <w:u w:val="single"/>
        </w:rPr>
        <w:t>Position</w:t>
      </w:r>
      <w:r>
        <w:rPr/>
        <w:t>:</w:t>
        <w:tab/>
        <w:tab/>
        <w:t xml:space="preserve">Supporting </w:t>
      </w:r>
      <w:r>
        <w:rPr>
          <w:u w:val="single"/>
        </w:rPr>
        <w:t>neither</w:t>
      </w:r>
      <w:r>
        <w:rPr/>
        <w:t xml:space="preserve"> settlement.</w:t>
      </w:r>
    </w:p>
    <w:p>
      <w:pPr>
        <w:pStyle w:val="Normal"/>
        <w:spacing w:lineRule="exact" w:line="280"/>
        <w:rPr/>
      </w:pPr>
      <w:r>
        <w:rPr/>
      </w:r>
    </w:p>
    <w:p>
      <w:pPr>
        <w:pStyle w:val="Normal"/>
        <w:spacing w:lineRule="exact" w:line="280"/>
        <w:ind w:hanging="2160" w:start="2160" w:end="0"/>
        <w:rPr/>
      </w:pPr>
      <w:r>
        <w:rPr>
          <w:u w:val="single"/>
        </w:rPr>
        <w:t>Issue</w:t>
      </w:r>
      <w:r>
        <w:rPr/>
        <w:t>:</w:t>
        <w:tab/>
        <w:t>Wants “scheduling criteria for new or expanding existing interconnects to be the same as existing receipt points (i.e. primary) as long as the new points do not constrain existing receipt point capacities.</w:t>
      </w:r>
    </w:p>
    <w:p>
      <w:pPr>
        <w:pStyle w:val="Normal"/>
        <w:spacing w:lineRule="exact" w:line="280"/>
        <w:rPr/>
      </w:pPr>
      <w:r>
        <w:rPr/>
      </w:r>
    </w:p>
    <w:p>
      <w:pPr>
        <w:pStyle w:val="Normal"/>
        <w:spacing w:lineRule="exact" w:line="280"/>
        <w:ind w:hanging="2160" w:start="2160" w:end="0"/>
        <w:rPr/>
      </w:pPr>
      <w:r>
        <w:rPr>
          <w:u w:val="single"/>
        </w:rPr>
        <w:t>TW Response</w:t>
      </w:r>
      <w:r>
        <w:rPr/>
        <w:t>:</w:t>
        <w:tab/>
        <w:t>On principle, Kern’s request does not directly harm any TW sponsored initiatives.  The potential issue(s) are commercial competition in TW’s market.</w:t>
      </w:r>
    </w:p>
    <w:p>
      <w:pPr>
        <w:pStyle w:val="Normal"/>
        <w:spacing w:lineRule="exact" w:line="280"/>
        <w:rPr/>
      </w:pPr>
      <w:r>
        <w:rPr/>
      </w:r>
    </w:p>
    <w:p>
      <w:pPr>
        <w:pStyle w:val="BodyTextIndent"/>
        <w:spacing w:lineRule="exact" w:line="280"/>
        <w:rPr/>
      </w:pPr>
      <w:r>
        <w:rPr/>
        <w:tab/>
        <w:t>Kern’s testimony suggests that parties are attempting to discourage new entrants….it is intended to enhance value of existing capacity with EPNG and TW – while not satisfying language I don’t see any reason to overreact here.</w:t>
      </w:r>
    </w:p>
    <w:p>
      <w:pPr>
        <w:pStyle w:val="Normal"/>
        <w:spacing w:lineRule="exact" w:line="280"/>
        <w:ind w:hanging="2160" w:start="2160" w:end="0"/>
        <w:rPr/>
      </w:pPr>
      <w:r>
        <w:rPr/>
      </w:r>
    </w:p>
    <w:p>
      <w:pPr>
        <w:pStyle w:val="Normal"/>
        <w:spacing w:lineRule="exact" w:line="280"/>
        <w:ind w:hanging="2160" w:start="2160" w:end="0"/>
        <w:rPr/>
      </w:pPr>
      <w:r>
        <w:rPr>
          <w:u w:val="single"/>
        </w:rPr>
        <w:t>TW Follow Up</w:t>
      </w:r>
      <w:r>
        <w:rPr/>
        <w:t>:</w:t>
        <w:tab/>
        <w:t xml:space="preserve">Possible </w:t>
      </w:r>
      <w:r>
        <w:rPr>
          <w:u w:val="single"/>
        </w:rPr>
        <w:t>rebuttal</w:t>
      </w:r>
      <w:r>
        <w:rPr/>
        <w:t xml:space="preserve"> item.</w:t>
      </w:r>
    </w:p>
    <w:p>
      <w:pPr>
        <w:pStyle w:val="Normal"/>
        <w:pBdr>
          <w:bottom w:val="single" w:sz="4" w:space="1" w:color="000000"/>
        </w:pBdr>
        <w:spacing w:lineRule="exact" w:line="280"/>
        <w:ind w:hanging="2160" w:start="2160" w:end="0"/>
        <w:rPr/>
      </w:pPr>
      <w:r>
        <w:rPr/>
      </w:r>
    </w:p>
    <w:p>
      <w:pPr>
        <w:pStyle w:val="Heading2"/>
        <w:spacing w:lineRule="exact" w:line="280"/>
        <w:rPr/>
      </w:pPr>
      <w:r>
        <w:rPr/>
      </w:r>
    </w:p>
    <w:p>
      <w:pPr>
        <w:pStyle w:val="Heading2"/>
        <w:spacing w:lineRule="exact" w:line="280"/>
        <w:rPr/>
      </w:pPr>
      <w:r>
        <w:rPr/>
        <w:t>Greenmountain.com</w:t>
      </w:r>
    </w:p>
    <w:p>
      <w:pPr>
        <w:pStyle w:val="Normal"/>
        <w:spacing w:lineRule="exact" w:line="280"/>
        <w:ind w:hanging="2160" w:start="2160" w:end="0"/>
        <w:rPr/>
      </w:pPr>
      <w:r>
        <w:rPr/>
      </w:r>
    </w:p>
    <w:p>
      <w:pPr>
        <w:pStyle w:val="Normal"/>
        <w:spacing w:lineRule="exact" w:line="280"/>
        <w:ind w:hanging="2160" w:start="2160" w:end="0"/>
        <w:rPr/>
      </w:pPr>
      <w:r>
        <w:rPr>
          <w:u w:val="single"/>
        </w:rPr>
        <w:t>Position</w:t>
      </w:r>
      <w:r>
        <w:rPr/>
        <w:t>:</w:t>
        <w:tab/>
        <w:t>Support retail portion of Comprehensive Settlement.</w:t>
      </w:r>
    </w:p>
    <w:p>
      <w:pPr>
        <w:pStyle w:val="Normal"/>
        <w:spacing w:lineRule="exact" w:line="280"/>
        <w:ind w:hanging="2160" w:start="2160" w:end="0"/>
        <w:rPr/>
      </w:pPr>
      <w:r>
        <w:rPr/>
      </w:r>
    </w:p>
    <w:p>
      <w:pPr>
        <w:pStyle w:val="BodyTextIndent"/>
        <w:tabs>
          <w:tab w:val="clear" w:pos="720"/>
          <w:tab w:val="left" w:pos="2160" w:leader="none"/>
        </w:tabs>
        <w:spacing w:lineRule="exact" w:line="280"/>
        <w:ind w:hanging="2880" w:start="2880" w:end="0"/>
        <w:rPr/>
      </w:pPr>
      <w:r>
        <w:rPr>
          <w:u w:val="single"/>
        </w:rPr>
        <w:t>Issues:</w:t>
      </w:r>
      <w:r>
        <w:rPr/>
        <w:tab/>
        <w:t>1.</w:t>
        <w:tab/>
        <w:t>Generally, retail core issues do not directly affect TW’s sponsored testimony.</w:t>
      </w:r>
    </w:p>
    <w:p>
      <w:pPr>
        <w:pStyle w:val="Normal"/>
        <w:spacing w:lineRule="exact" w:line="280"/>
        <w:ind w:hanging="2160" w:start="2160" w:end="0"/>
        <w:rPr/>
      </w:pPr>
      <w:r>
        <w:rPr/>
      </w:r>
    </w:p>
    <w:p>
      <w:pPr>
        <w:pStyle w:val="Normal"/>
        <w:spacing w:lineRule="exact" w:line="280"/>
        <w:ind w:hanging="720" w:start="2880" w:end="0"/>
        <w:rPr/>
      </w:pPr>
      <w:r>
        <w:rPr/>
        <w:t>2.</w:t>
        <w:tab/>
        <w:t xml:space="preserve">Supports unbundling of both </w:t>
      </w:r>
      <w:r>
        <w:rPr>
          <w:u w:val="single"/>
        </w:rPr>
        <w:t>interstate</w:t>
      </w:r>
      <w:r>
        <w:rPr/>
        <w:t xml:space="preserve"> and </w:t>
      </w:r>
      <w:r>
        <w:rPr>
          <w:u w:val="single"/>
        </w:rPr>
        <w:t>intrastate</w:t>
      </w:r>
      <w:r>
        <w:rPr/>
        <w:t xml:space="preserve"> (backbone) capacity.</w:t>
      </w:r>
    </w:p>
    <w:p>
      <w:pPr>
        <w:pStyle w:val="Normal"/>
        <w:spacing w:lineRule="exact" w:line="280"/>
        <w:ind w:hanging="2160" w:start="2160" w:end="0"/>
        <w:rPr/>
      </w:pPr>
      <w:r>
        <w:rPr/>
      </w:r>
    </w:p>
    <w:p>
      <w:pPr>
        <w:pStyle w:val="Normal"/>
        <w:spacing w:lineRule="exact" w:line="280"/>
        <w:ind w:hanging="2160" w:start="2160" w:end="0"/>
        <w:rPr/>
      </w:pPr>
      <w:r>
        <w:rPr>
          <w:u w:val="single"/>
        </w:rPr>
        <w:t>TW Response</w:t>
      </w:r>
      <w:r>
        <w:rPr/>
        <w:t>:</w:t>
        <w:tab/>
        <w:t>None</w:t>
      </w:r>
    </w:p>
    <w:p>
      <w:pPr>
        <w:pStyle w:val="Normal"/>
        <w:spacing w:lineRule="exact" w:line="280"/>
        <w:ind w:hanging="2160" w:start="2160" w:end="0"/>
        <w:rPr>
          <w:u w:val="single"/>
        </w:rPr>
      </w:pPr>
      <w:r>
        <w:rPr>
          <w:u w:val="single"/>
        </w:rPr>
      </w:r>
    </w:p>
    <w:p>
      <w:pPr>
        <w:pStyle w:val="Normal"/>
        <w:spacing w:lineRule="exact" w:line="280"/>
        <w:ind w:hanging="2160" w:start="2160" w:end="0"/>
        <w:rPr/>
      </w:pPr>
      <w:r>
        <w:rPr>
          <w:u w:val="single"/>
        </w:rPr>
        <w:t>TW Follow Up</w:t>
      </w:r>
      <w:r>
        <w:rPr/>
        <w:t>:</w:t>
        <w:tab/>
        <w:t>Commercial review of the unbundling of CTA’s interstate capacity assignments.</w:t>
      </w:r>
    </w:p>
    <w:p>
      <w:pPr>
        <w:pStyle w:val="Normal"/>
        <w:pBdr>
          <w:bottom w:val="single" w:sz="4" w:space="1" w:color="000000"/>
        </w:pBdr>
        <w:spacing w:lineRule="exact" w:line="280"/>
        <w:ind w:hanging="2160" w:start="2160" w:end="0"/>
        <w:rPr/>
      </w:pPr>
      <w:r>
        <w:rPr/>
      </w:r>
    </w:p>
    <w:p>
      <w:pPr>
        <w:pStyle w:val="Heading2"/>
        <w:spacing w:lineRule="exact" w:line="280"/>
        <w:rPr/>
      </w:pPr>
      <w:r>
        <w:rPr/>
      </w:r>
    </w:p>
    <w:p>
      <w:pPr>
        <w:pStyle w:val="Heading2"/>
        <w:spacing w:lineRule="exact" w:line="280"/>
        <w:rPr/>
      </w:pPr>
      <w:r>
        <w:rPr/>
        <w:t>ORA</w:t>
      </w:r>
    </w:p>
    <w:p>
      <w:pPr>
        <w:pStyle w:val="Normal"/>
        <w:spacing w:lineRule="exact" w:line="280"/>
        <w:ind w:hanging="2160" w:start="2160" w:end="0"/>
        <w:rPr/>
      </w:pPr>
      <w:r>
        <w:rPr/>
      </w:r>
    </w:p>
    <w:p>
      <w:pPr>
        <w:pStyle w:val="Normal"/>
        <w:spacing w:lineRule="exact" w:line="280"/>
        <w:ind w:hanging="2160" w:start="2160" w:end="0"/>
        <w:rPr/>
      </w:pPr>
      <w:r>
        <w:rPr>
          <w:u w:val="single"/>
        </w:rPr>
        <w:t>Position</w:t>
      </w:r>
      <w:r>
        <w:rPr/>
        <w:t>:</w:t>
        <w:tab/>
        <w:t>Supports Comprehensive Settlement.</w:t>
      </w:r>
    </w:p>
    <w:p>
      <w:pPr>
        <w:pStyle w:val="Normal"/>
        <w:spacing w:lineRule="exact" w:line="280"/>
        <w:ind w:hanging="2160" w:start="2160" w:end="0"/>
        <w:rPr>
          <w:u w:val="single"/>
        </w:rPr>
      </w:pPr>
      <w:r>
        <w:rPr>
          <w:u w:val="single"/>
        </w:rPr>
      </w:r>
    </w:p>
    <w:p>
      <w:pPr>
        <w:pStyle w:val="Normal"/>
        <w:tabs>
          <w:tab w:val="clear" w:pos="720"/>
          <w:tab w:val="left" w:pos="2160" w:leader="none"/>
        </w:tabs>
        <w:spacing w:lineRule="exact" w:line="280"/>
        <w:ind w:hanging="2880" w:start="2880" w:end="0"/>
        <w:rPr/>
      </w:pPr>
      <w:r>
        <w:rPr>
          <w:u w:val="single"/>
        </w:rPr>
        <w:t>Issue(s)</w:t>
      </w:r>
      <w:r>
        <w:rPr/>
        <w:t>:</w:t>
        <w:tab/>
        <w:t>1.</w:t>
        <w:tab/>
        <w:t>Notes how core customers will have choice via “the opportunity to reduce costs by avoiding services that they do not need.”</w:t>
      </w:r>
    </w:p>
    <w:p>
      <w:pPr>
        <w:pStyle w:val="Normal"/>
        <w:spacing w:lineRule="exact" w:line="280"/>
        <w:ind w:hanging="2160" w:start="2160" w:end="0"/>
        <w:rPr>
          <w:u w:val="single"/>
        </w:rPr>
      </w:pPr>
      <w:r>
        <w:rPr>
          <w:u w:val="single"/>
        </w:rPr>
      </w:r>
    </w:p>
    <w:p>
      <w:pPr>
        <w:pStyle w:val="Normal"/>
        <w:numPr>
          <w:ilvl w:val="0"/>
          <w:numId w:val="9"/>
        </w:numPr>
        <w:spacing w:lineRule="exact" w:line="280"/>
        <w:rPr/>
      </w:pPr>
      <w:r>
        <w:rPr>
          <w:u w:val="single"/>
        </w:rPr>
        <w:t>All</w:t>
      </w:r>
      <w:r>
        <w:rPr/>
        <w:t xml:space="preserve"> customers treated fairly and equitably.</w:t>
      </w:r>
    </w:p>
    <w:p>
      <w:pPr>
        <w:pStyle w:val="Normal"/>
        <w:spacing w:lineRule="exact" w:line="280"/>
        <w:rPr>
          <w:u w:val="single"/>
        </w:rPr>
      </w:pPr>
      <w:r>
        <w:rPr>
          <w:u w:val="single"/>
        </w:rPr>
      </w:r>
    </w:p>
    <w:p>
      <w:pPr>
        <w:pStyle w:val="Normal"/>
        <w:numPr>
          <w:ilvl w:val="0"/>
          <w:numId w:val="9"/>
        </w:numPr>
        <w:spacing w:lineRule="exact" w:line="280"/>
        <w:rPr/>
      </w:pPr>
      <w:r>
        <w:rPr/>
        <w:t>Increase competition for backbone service(s).</w:t>
      </w:r>
    </w:p>
    <w:p>
      <w:pPr>
        <w:pStyle w:val="Normal"/>
        <w:spacing w:lineRule="exact" w:line="280"/>
        <w:rPr/>
      </w:pPr>
      <w:r>
        <w:rPr/>
      </w:r>
    </w:p>
    <w:p>
      <w:pPr>
        <w:pStyle w:val="Normal"/>
        <w:numPr>
          <w:ilvl w:val="0"/>
          <w:numId w:val="9"/>
        </w:numPr>
        <w:spacing w:lineRule="exact" w:line="280"/>
        <w:rPr/>
      </w:pPr>
      <w:r>
        <w:rPr/>
        <w:t>Statewide consistency.</w:t>
      </w:r>
    </w:p>
    <w:p>
      <w:pPr>
        <w:pStyle w:val="Normal"/>
        <w:spacing w:lineRule="exact" w:line="280"/>
        <w:rPr/>
      </w:pPr>
      <w:r>
        <w:rPr/>
      </w:r>
    </w:p>
    <w:p>
      <w:pPr>
        <w:pStyle w:val="Normal"/>
        <w:numPr>
          <w:ilvl w:val="0"/>
          <w:numId w:val="9"/>
        </w:numPr>
        <w:spacing w:lineRule="exact" w:line="280"/>
        <w:rPr/>
      </w:pPr>
      <w:r>
        <w:rPr/>
        <w:t>Page 7 – Acknowledges TW core set aside intrastate capacity at 300 MMcfd and notes that historically TW has provided access to low cost San Juan Basin gas supplies.  ORA references April 1, 1998 – March 31, 1999 GCIM where San Juan Basin gas averages $0.085/Dth less than Permian.</w:t>
      </w:r>
    </w:p>
    <w:p>
      <w:pPr>
        <w:pStyle w:val="Normal"/>
        <w:spacing w:lineRule="exact" w:line="280"/>
        <w:rPr/>
      </w:pPr>
      <w:r>
        <w:rPr/>
      </w:r>
    </w:p>
    <w:p>
      <w:pPr>
        <w:pStyle w:val="Normal"/>
        <w:numPr>
          <w:ilvl w:val="0"/>
          <w:numId w:val="9"/>
        </w:numPr>
        <w:spacing w:lineRule="exact" w:line="280"/>
        <w:rPr/>
      </w:pPr>
      <w:r>
        <w:rPr/>
        <w:t xml:space="preserve">Uses the core 290 MMcfd Topock/EPNG intrastate set aside as a </w:t>
      </w:r>
      <w:r>
        <w:rPr>
          <w:u w:val="single"/>
        </w:rPr>
        <w:t>concrete</w:t>
      </w:r>
      <w:r>
        <w:rPr/>
        <w:t xml:space="preserve"> example of how the Comprehensive Settlement betters the core ratepayers.</w:t>
      </w:r>
    </w:p>
    <w:p>
      <w:pPr>
        <w:pStyle w:val="Normal"/>
        <w:spacing w:lineRule="exact" w:line="280"/>
        <w:rPr/>
      </w:pPr>
      <w:r>
        <w:rPr/>
      </w:r>
    </w:p>
    <w:p>
      <w:pPr>
        <w:pStyle w:val="Normal"/>
        <w:spacing w:lineRule="exact" w:line="280"/>
        <w:rPr/>
      </w:pPr>
      <w:r>
        <w:rPr>
          <w:u w:val="single"/>
        </w:rPr>
        <w:t>TW Response</w:t>
      </w:r>
      <w:r>
        <w:rPr/>
        <w:t>:</w:t>
        <w:tab/>
        <w:t>Generally, none.</w:t>
      </w:r>
    </w:p>
    <w:p>
      <w:pPr>
        <w:pStyle w:val="Normal"/>
        <w:spacing w:lineRule="exact" w:line="280"/>
        <w:rPr/>
      </w:pPr>
      <w:r>
        <w:rPr/>
      </w:r>
    </w:p>
    <w:p>
      <w:pPr>
        <w:pStyle w:val="BodyTextIndent3"/>
        <w:spacing w:lineRule="exact" w:line="280"/>
        <w:ind w:start="2160" w:end="0"/>
        <w:rPr/>
      </w:pPr>
      <w:r>
        <w:rPr/>
        <w:t>While ORA leans exclusively on EPNG/Topock to illustrate its core benefit argument, the fact remains TW’s 300 MMcfd core set aside provide(s) San Juan Basin gas supply value as well.</w:t>
      </w:r>
    </w:p>
    <w:p>
      <w:pPr>
        <w:pStyle w:val="BodyTextIndent3"/>
        <w:pBdr>
          <w:bottom w:val="single" w:sz="4" w:space="1" w:color="000000"/>
        </w:pBdr>
        <w:spacing w:lineRule="exact" w:line="280"/>
        <w:ind w:start="0" w:end="0"/>
        <w:rPr/>
      </w:pPr>
      <w:r>
        <w:rPr/>
      </w:r>
    </w:p>
    <w:p>
      <w:pPr>
        <w:pStyle w:val="BodyTextIndent3"/>
        <w:spacing w:lineRule="exact" w:line="280"/>
        <w:ind w:start="0" w:end="0"/>
        <w:rPr>
          <w:b/>
          <w:u w:val="single"/>
        </w:rPr>
      </w:pPr>
      <w:r>
        <w:rPr>
          <w:b/>
          <w:u w:val="single"/>
        </w:rPr>
      </w:r>
    </w:p>
    <w:p>
      <w:pPr>
        <w:pStyle w:val="BodyTextIndent3"/>
        <w:spacing w:lineRule="exact" w:line="280"/>
        <w:ind w:start="0" w:end="0"/>
        <w:rPr>
          <w:b/>
          <w:u w:val="single"/>
        </w:rPr>
      </w:pPr>
      <w:r>
        <w:rPr>
          <w:b/>
          <w:u w:val="single"/>
        </w:rPr>
        <w:t>SoCal</w:t>
      </w:r>
    </w:p>
    <w:p>
      <w:pPr>
        <w:pStyle w:val="BodyTextIndent3"/>
        <w:spacing w:lineRule="exact" w:line="280"/>
        <w:ind w:start="0" w:end="0"/>
        <w:rPr/>
      </w:pPr>
      <w:r>
        <w:rPr/>
      </w:r>
    </w:p>
    <w:p>
      <w:pPr>
        <w:pStyle w:val="BodyTextIndent3"/>
        <w:spacing w:lineRule="exact" w:line="280"/>
        <w:ind w:start="0" w:end="0"/>
        <w:rPr/>
      </w:pPr>
      <w:r>
        <w:rPr>
          <w:u w:val="single"/>
        </w:rPr>
        <w:t>Position</w:t>
      </w:r>
      <w:r>
        <w:rPr/>
        <w:t>:</w:t>
        <w:tab/>
        <w:tab/>
        <w:t>Supports Comprehensive Settlement.</w:t>
      </w:r>
    </w:p>
    <w:p>
      <w:pPr>
        <w:pStyle w:val="BodyTextIndent3"/>
        <w:spacing w:lineRule="exact" w:line="280"/>
        <w:ind w:start="0" w:end="0"/>
        <w:rPr/>
      </w:pPr>
      <w:r>
        <w:rPr/>
      </w:r>
    </w:p>
    <w:p>
      <w:pPr>
        <w:pStyle w:val="BodyTextIndent3"/>
        <w:spacing w:lineRule="exact" w:line="280"/>
        <w:ind w:start="0" w:end="0"/>
        <w:rPr/>
      </w:pPr>
      <w:r>
        <w:rPr>
          <w:u w:val="single"/>
        </w:rPr>
        <w:t>Issues</w:t>
      </w:r>
      <w:r>
        <w:rPr/>
        <w:t>:</w:t>
      </w:r>
    </w:p>
    <w:p>
      <w:pPr>
        <w:pStyle w:val="BodyTextIndent3"/>
        <w:spacing w:lineRule="exact" w:line="280"/>
        <w:ind w:start="0" w:end="0"/>
        <w:rPr/>
      </w:pPr>
      <w:r>
        <w:rPr/>
      </w:r>
    </w:p>
    <w:p>
      <w:pPr>
        <w:pStyle w:val="BodyTextIndent3"/>
        <w:spacing w:lineRule="exact" w:line="280"/>
        <w:ind w:start="0" w:end="0"/>
        <w:rPr/>
      </w:pPr>
      <w:r>
        <w:rPr/>
        <w:t>General:</w:t>
        <w:tab/>
        <w:tab/>
        <w:t>SoCal’s testimony supports TW’s interest.</w:t>
      </w:r>
    </w:p>
    <w:p>
      <w:pPr>
        <w:pStyle w:val="BodyTextIndent3"/>
        <w:spacing w:lineRule="exact" w:line="280"/>
        <w:ind w:start="0" w:end="0"/>
        <w:rPr/>
      </w:pPr>
      <w:r>
        <w:rPr/>
      </w:r>
    </w:p>
    <w:p>
      <w:pPr>
        <w:pStyle w:val="BodyTextIndent3"/>
        <w:numPr>
          <w:ilvl w:val="0"/>
          <w:numId w:val="2"/>
        </w:numPr>
        <w:spacing w:lineRule="exact" w:line="280"/>
        <w:rPr/>
      </w:pPr>
      <w:r>
        <w:rPr/>
        <w:t xml:space="preserve">Attachment 1, page 3 – Note(s) Hector delivers </w:t>
      </w:r>
      <w:r>
        <w:rPr>
          <w:u w:val="single"/>
        </w:rPr>
        <w:t>up to 250</w:t>
      </w:r>
      <w:r>
        <w:rPr/>
        <w:t xml:space="preserve"> MMcfd if TW deliveries </w:t>
      </w:r>
      <w:r>
        <w:rPr>
          <w:u w:val="single"/>
        </w:rPr>
        <w:t>drop below</w:t>
      </w:r>
      <w:r>
        <w:rPr/>
        <w:t xml:space="preserve"> 600 MMcfd.</w:t>
      </w:r>
    </w:p>
    <w:p>
      <w:pPr>
        <w:pStyle w:val="BodyTextIndent3"/>
        <w:spacing w:lineRule="exact" w:line="280"/>
        <w:rPr/>
      </w:pPr>
      <w:r>
        <w:rPr/>
      </w:r>
    </w:p>
    <w:p>
      <w:pPr>
        <w:pStyle w:val="BodyTextIndent3"/>
        <w:numPr>
          <w:ilvl w:val="0"/>
          <w:numId w:val="2"/>
        </w:numPr>
        <w:spacing w:lineRule="exact" w:line="280"/>
        <w:rPr/>
      </w:pPr>
      <w:r>
        <w:rPr/>
        <w:t xml:space="preserve">Page 9 – SoCal states the backbone/local transmission structure is </w:t>
      </w:r>
      <w:r>
        <w:rPr>
          <w:b/>
        </w:rPr>
        <w:t>identical</w:t>
      </w:r>
      <w:r>
        <w:rPr/>
        <w:t xml:space="preserve"> to PG&amp;E; while in fact, it is not; PG&amp;E’s “backbone” facilities were far more inclusive of LT facilities than SoCal’s Comprehensive Settlement.</w:t>
      </w:r>
    </w:p>
    <w:p>
      <w:pPr>
        <w:pStyle w:val="BodyTextIndent3"/>
        <w:spacing w:lineRule="exact" w:line="280"/>
        <w:ind w:start="0" w:end="0"/>
        <w:rPr/>
      </w:pPr>
      <w:r>
        <w:rPr/>
      </w:r>
    </w:p>
    <w:p>
      <w:pPr>
        <w:pStyle w:val="BodyTextIndent3"/>
        <w:numPr>
          <w:ilvl w:val="0"/>
          <w:numId w:val="2"/>
        </w:numPr>
        <w:spacing w:lineRule="exact" w:line="280"/>
        <w:rPr/>
      </w:pPr>
      <w:r>
        <w:rPr/>
        <w:t>Page 10 – SoCal states a customer holding or “using” firm rights can make off-system deliveries subject to condition(s) set forth in Appendix B.</w:t>
      </w:r>
    </w:p>
    <w:p>
      <w:pPr>
        <w:pStyle w:val="BodyTextIndent3"/>
        <w:spacing w:lineRule="exact" w:line="280"/>
        <w:ind w:start="0" w:end="0"/>
        <w:rPr/>
      </w:pPr>
      <w:r>
        <w:rPr/>
      </w:r>
    </w:p>
    <w:p>
      <w:pPr>
        <w:pStyle w:val="BodyTextIndent3"/>
        <w:numPr>
          <w:ilvl w:val="0"/>
          <w:numId w:val="2"/>
        </w:numPr>
        <w:spacing w:lineRule="exact" w:line="280"/>
        <w:rPr/>
      </w:pPr>
      <w:r>
        <w:rPr/>
        <w:t xml:space="preserve">Page 12 – SoCal acknowledges existing long-term contracts (LTKs) with </w:t>
      </w:r>
      <w:r>
        <w:rPr>
          <w:u w:val="single"/>
        </w:rPr>
        <w:t>specific</w:t>
      </w:r>
      <w:r>
        <w:rPr/>
        <w:t xml:space="preserve"> receipt point considerations will receive a set aside opportunity.</w:t>
      </w:r>
    </w:p>
    <w:p>
      <w:pPr>
        <w:pStyle w:val="BodyTextIndent3"/>
        <w:spacing w:lineRule="exact" w:line="280"/>
        <w:ind w:start="0" w:end="0"/>
        <w:rPr/>
      </w:pPr>
      <w:r>
        <w:rPr/>
      </w:r>
    </w:p>
    <w:p>
      <w:pPr>
        <w:pStyle w:val="BodyTextIndent3"/>
        <w:numPr>
          <w:ilvl w:val="0"/>
          <w:numId w:val="2"/>
        </w:numPr>
        <w:spacing w:lineRule="exact" w:line="280"/>
        <w:rPr/>
      </w:pPr>
      <w:r>
        <w:rPr/>
        <w:t>Page 14 – SoCal continues with its unfortunate use of “minimum” 50 MMcfd firm capacity at Hector Road.</w:t>
      </w:r>
    </w:p>
    <w:p>
      <w:pPr>
        <w:pStyle w:val="BodyTextIndent3"/>
        <w:spacing w:lineRule="exact" w:line="280"/>
        <w:ind w:start="0" w:end="0"/>
        <w:rPr/>
      </w:pPr>
      <w:r>
        <w:rPr/>
      </w:r>
    </w:p>
    <w:p>
      <w:pPr>
        <w:pStyle w:val="BodyTextIndent3"/>
        <w:tabs>
          <w:tab w:val="clear" w:pos="720"/>
          <w:tab w:val="left" w:pos="2160" w:leader="none"/>
        </w:tabs>
        <w:spacing w:lineRule="exact" w:line="280"/>
        <w:ind w:hanging="2880" w:end="0"/>
        <w:rPr/>
      </w:pPr>
      <w:r>
        <w:rPr>
          <w:u w:val="single"/>
        </w:rPr>
        <w:t>TW Responses</w:t>
      </w:r>
      <w:r>
        <w:rPr/>
        <w:tab/>
        <w:t>(R1)</w:t>
        <w:tab/>
        <w:t>Unfortunate, (but probably required) reference to Hector Road’s absolute capacity of 250 MMcfd (I thought it was just 200 MMcfd).  I would have hoped TW’s South Needles point would have been described in the “South Needles” facilities section by SoCal.</w:t>
      </w:r>
    </w:p>
    <w:p>
      <w:pPr>
        <w:pStyle w:val="BodyTextIndent3"/>
        <w:tabs>
          <w:tab w:val="clear" w:pos="720"/>
          <w:tab w:val="left" w:pos="2160" w:leader="none"/>
        </w:tabs>
        <w:spacing w:lineRule="exact" w:line="280"/>
        <w:ind w:hanging="2880" w:end="0"/>
        <w:rPr/>
      </w:pPr>
      <w:r>
        <w:rPr/>
      </w:r>
    </w:p>
    <w:p>
      <w:pPr>
        <w:pStyle w:val="BodyTextIndent3"/>
        <w:spacing w:lineRule="exact" w:line="280"/>
        <w:ind w:hanging="720" w:end="0"/>
        <w:rPr/>
      </w:pPr>
      <w:r>
        <w:rPr/>
        <w:t>(R2)</w:t>
        <w:tab/>
        <w:t>None required at this time.  Caution is recommended in this whole rate design area and facility allocation.</w:t>
      </w:r>
    </w:p>
    <w:p>
      <w:pPr>
        <w:pStyle w:val="BodyTextIndent3"/>
        <w:spacing w:lineRule="exact" w:line="280"/>
        <w:ind w:start="0" w:end="0"/>
        <w:rPr/>
      </w:pPr>
      <w:r>
        <w:rPr/>
      </w:r>
    </w:p>
    <w:p>
      <w:pPr>
        <w:pStyle w:val="BodyTextIndent3"/>
        <w:spacing w:lineRule="exact" w:line="280"/>
        <w:ind w:hanging="720" w:end="0"/>
        <w:rPr/>
      </w:pPr>
      <w:r>
        <w:rPr/>
        <w:t>(R3)</w:t>
        <w:tab/>
        <w:t>None required at this time.  Curiously, SoCal suggests the broad off-system market is available to holders of firm backbone capacity; when in fact, only SDG&amp;E, Mexicali, and Rosarita are mentioned in the settlement.  Off system deliveries require an additional IT Agreement.</w:t>
      </w:r>
    </w:p>
    <w:p>
      <w:pPr>
        <w:pStyle w:val="BodyTextIndent3"/>
        <w:spacing w:lineRule="exact" w:line="280"/>
        <w:ind w:start="0" w:end="0"/>
        <w:rPr/>
      </w:pPr>
      <w:r>
        <w:rPr/>
      </w:r>
    </w:p>
    <w:p>
      <w:pPr>
        <w:pStyle w:val="BodyTextIndent3"/>
        <w:spacing w:lineRule="exact" w:line="280"/>
        <w:ind w:start="0" w:end="0"/>
        <w:rPr/>
      </w:pPr>
      <w:r>
        <w:rPr>
          <w:u w:val="single"/>
        </w:rPr>
        <w:t>TW Follow Up</w:t>
      </w:r>
      <w:r>
        <w:rPr/>
        <w:t>:</w:t>
        <w:tab/>
        <w:t>Potential marketing opportunity.</w:t>
      </w:r>
    </w:p>
    <w:p>
      <w:pPr>
        <w:pStyle w:val="BodyTextIndent3"/>
        <w:spacing w:lineRule="exact" w:line="280"/>
        <w:ind w:start="0" w:end="0"/>
        <w:rPr/>
      </w:pPr>
      <w:r>
        <w:rPr/>
      </w:r>
    </w:p>
    <w:p>
      <w:pPr>
        <w:pStyle w:val="BodyTextIndent3"/>
        <w:spacing w:lineRule="exact" w:line="280"/>
        <w:ind w:hanging="720" w:end="0"/>
        <w:rPr/>
      </w:pPr>
      <w:r>
        <w:rPr/>
        <w:t>(R4)</w:t>
        <w:tab/>
        <w:t>None at this time; I do not believe TW is directly affected by this provision.  Most deals line up at Wheeler Ridge or Blythe.</w:t>
      </w:r>
    </w:p>
    <w:p>
      <w:pPr>
        <w:pStyle w:val="BodyTextIndent3"/>
        <w:spacing w:lineRule="exact" w:line="280"/>
        <w:ind w:start="0" w:end="0"/>
        <w:rPr>
          <w:u w:val="single"/>
        </w:rPr>
      </w:pPr>
      <w:r>
        <w:rPr>
          <w:u w:val="single"/>
        </w:rPr>
      </w:r>
    </w:p>
    <w:p>
      <w:pPr>
        <w:pStyle w:val="BodyTextIndent3"/>
        <w:spacing w:lineRule="exact" w:line="280"/>
        <w:ind w:start="0" w:end="0"/>
        <w:rPr/>
      </w:pPr>
      <w:r>
        <w:rPr>
          <w:u w:val="single"/>
        </w:rPr>
        <w:t>TW Follow Up</w:t>
      </w:r>
      <w:r>
        <w:rPr/>
        <w:t>:</w:t>
        <w:tab/>
        <w:t>Market watch list for open season marketing.</w:t>
      </w:r>
    </w:p>
    <w:p>
      <w:pPr>
        <w:pStyle w:val="BodyTextIndent3"/>
        <w:spacing w:lineRule="exact" w:line="280"/>
        <w:rPr/>
      </w:pPr>
      <w:r>
        <w:rPr/>
      </w:r>
    </w:p>
    <w:p>
      <w:pPr>
        <w:pStyle w:val="BodyTextIndent3"/>
        <w:spacing w:lineRule="exact" w:line="280"/>
        <w:ind w:hanging="720" w:end="0"/>
        <w:rPr/>
      </w:pPr>
      <w:r>
        <w:rPr/>
        <w:t>(R5)</w:t>
        <w:tab/>
        <w:t>TW should be absolutely clear with SoCal that if challenged for a higher firm capacity at Hector Road that:</w:t>
      </w:r>
    </w:p>
    <w:p>
      <w:pPr>
        <w:pStyle w:val="BodyTextIndent3"/>
        <w:spacing w:lineRule="exact" w:line="280"/>
        <w:rPr/>
      </w:pPr>
      <w:r>
        <w:rPr/>
      </w:r>
    </w:p>
    <w:p>
      <w:pPr>
        <w:pStyle w:val="BodyTextIndent3"/>
        <w:numPr>
          <w:ilvl w:val="0"/>
          <w:numId w:val="10"/>
        </w:numPr>
        <w:tabs>
          <w:tab w:val="clear" w:pos="720"/>
        </w:tabs>
        <w:spacing w:lineRule="exact" w:line="280"/>
        <w:ind w:hanging="720" w:start="3600" w:end="0"/>
        <w:rPr/>
      </w:pPr>
      <w:r>
        <w:rPr/>
        <w:t>SoCal remind everyone that other points such as South Needles were considered in settlement discussions and the primary firm minimum was established at zero while the physical capacity is 200 MMcfd.  Therefore, "minimum” capacity is not equivalent to physical interconnect capacity</w:t>
      </w:r>
    </w:p>
    <w:p>
      <w:pPr>
        <w:pStyle w:val="BodyTextIndent3"/>
        <w:spacing w:lineRule="exact" w:line="280"/>
        <w:rPr/>
      </w:pPr>
      <w:r>
        <w:rPr/>
      </w:r>
    </w:p>
    <w:p>
      <w:pPr>
        <w:pStyle w:val="BodyTextIndent3"/>
        <w:numPr>
          <w:ilvl w:val="0"/>
          <w:numId w:val="10"/>
        </w:numPr>
        <w:tabs>
          <w:tab w:val="clear" w:pos="720"/>
        </w:tabs>
        <w:spacing w:lineRule="exact" w:line="280"/>
        <w:ind w:hanging="720" w:start="3600" w:end="0"/>
        <w:rPr/>
      </w:pPr>
      <w:r>
        <w:rPr/>
        <w:t>All parties to the settlement have agreed to 50 MMcfd primary as “full satisfaction” to their interest.</w:t>
      </w:r>
    </w:p>
    <w:p>
      <w:pPr>
        <w:pStyle w:val="BodyTextIndent3"/>
        <w:pBdr>
          <w:bottom w:val="single" w:sz="4" w:space="1" w:color="000000"/>
        </w:pBdr>
        <w:spacing w:lineRule="exact" w:line="280"/>
        <w:ind w:start="0" w:end="0"/>
        <w:rPr/>
      </w:pPr>
      <w:r>
        <w:rPr/>
      </w:r>
    </w:p>
    <w:p>
      <w:pPr>
        <w:pStyle w:val="BodyTextIndent3"/>
        <w:spacing w:lineRule="exact" w:line="280"/>
        <w:ind w:start="0" w:end="0"/>
        <w:rPr>
          <w:b/>
          <w:u w:val="single"/>
        </w:rPr>
      </w:pPr>
      <w:r>
        <w:rPr>
          <w:b/>
          <w:u w:val="single"/>
        </w:rPr>
      </w:r>
    </w:p>
    <w:p>
      <w:pPr>
        <w:pStyle w:val="BodyTextIndent3"/>
        <w:spacing w:lineRule="exact" w:line="280"/>
        <w:ind w:start="0" w:end="0"/>
        <w:rPr>
          <w:b/>
          <w:u w:val="single"/>
        </w:rPr>
      </w:pPr>
      <w:r>
        <w:rPr>
          <w:b/>
          <w:u w:val="single"/>
        </w:rPr>
        <w:t>Wild Goose Storage</w:t>
      </w:r>
    </w:p>
    <w:p>
      <w:pPr>
        <w:pStyle w:val="BodyTextIndent3"/>
        <w:spacing w:lineRule="exact" w:line="280"/>
        <w:ind w:start="0" w:end="0"/>
        <w:rPr/>
      </w:pPr>
      <w:r>
        <w:rPr/>
      </w:r>
    </w:p>
    <w:p>
      <w:pPr>
        <w:pStyle w:val="BodyTextIndent3"/>
        <w:spacing w:lineRule="exact" w:line="280"/>
        <w:ind w:start="0" w:end="0"/>
        <w:rPr/>
      </w:pPr>
      <w:r>
        <w:rPr>
          <w:u w:val="single"/>
        </w:rPr>
        <w:t>Position</w:t>
      </w:r>
      <w:r>
        <w:rPr/>
        <w:t>:</w:t>
        <w:tab/>
        <w:tab/>
        <w:t>Supports Comprehensive Settlement</w:t>
      </w:r>
    </w:p>
    <w:p>
      <w:pPr>
        <w:pStyle w:val="BodyTextIndent3"/>
        <w:spacing w:lineRule="exact" w:line="280"/>
        <w:ind w:start="0" w:end="0"/>
        <w:rPr/>
      </w:pPr>
      <w:r>
        <w:rPr/>
      </w:r>
    </w:p>
    <w:p>
      <w:pPr>
        <w:pStyle w:val="BodyTextIndent3"/>
        <w:spacing w:lineRule="exact" w:line="280"/>
        <w:ind w:start="0" w:end="0"/>
        <w:rPr/>
      </w:pPr>
      <w:r>
        <w:rPr>
          <w:u w:val="single"/>
        </w:rPr>
        <w:t>Issue(s)</w:t>
      </w:r>
      <w:r>
        <w:rPr/>
        <w:t>:</w:t>
        <w:tab/>
        <w:tab/>
        <w:t>None</w:t>
      </w:r>
    </w:p>
    <w:p>
      <w:pPr>
        <w:pStyle w:val="BodyTextIndent3"/>
        <w:spacing w:lineRule="exact" w:line="280"/>
        <w:ind w:start="0" w:end="0"/>
        <w:rPr/>
      </w:pPr>
      <w:r>
        <w:rPr/>
      </w:r>
    </w:p>
    <w:p>
      <w:pPr>
        <w:pStyle w:val="BodyTextIndent3"/>
        <w:numPr>
          <w:ilvl w:val="0"/>
          <w:numId w:val="5"/>
        </w:numPr>
        <w:spacing w:lineRule="exact" w:line="280"/>
        <w:rPr/>
      </w:pPr>
      <w:r>
        <w:rPr/>
        <w:t>Emphasis on choice, selecting only services that customers need.</w:t>
      </w:r>
    </w:p>
    <w:p>
      <w:pPr>
        <w:pStyle w:val="BodyTextIndent3"/>
        <w:spacing w:lineRule="exact" w:line="280"/>
        <w:rPr/>
      </w:pPr>
      <w:r>
        <w:rPr/>
      </w:r>
    </w:p>
    <w:p>
      <w:pPr>
        <w:pStyle w:val="BodyTextIndent3"/>
        <w:spacing w:lineRule="exact" w:line="280"/>
        <w:ind w:start="2160" w:end="0"/>
        <w:rPr/>
      </w:pPr>
      <w:r>
        <w:rPr/>
        <w:t>2.</w:t>
        <w:tab/>
        <w:t>Storage issues are Wild Goose Storage focus.</w:t>
      </w:r>
    </w:p>
    <w:p>
      <w:pPr>
        <w:pStyle w:val="BodyTextIndent3"/>
        <w:spacing w:lineRule="exact" w:line="280"/>
        <w:ind w:start="0" w:end="0"/>
        <w:rPr/>
      </w:pPr>
      <w:r>
        <w:rPr/>
      </w:r>
    </w:p>
    <w:p>
      <w:pPr>
        <w:pStyle w:val="BodyTextIndent3"/>
        <w:spacing w:lineRule="exact" w:line="280"/>
        <w:ind w:start="0" w:end="0"/>
        <w:rPr>
          <w:b/>
          <w:u w:val="single"/>
        </w:rPr>
      </w:pPr>
      <w:r>
        <w:rPr>
          <w:b/>
          <w:u w:val="single"/>
        </w:rPr>
      </w:r>
    </w:p>
    <w:p>
      <w:pPr>
        <w:pStyle w:val="BodyTextIndent3"/>
        <w:spacing w:lineRule="exact" w:line="280"/>
        <w:ind w:start="0" w:end="0"/>
        <w:rPr>
          <w:b/>
          <w:u w:val="single"/>
        </w:rPr>
      </w:pPr>
      <w:r>
        <w:rPr>
          <w:b/>
          <w:u w:val="single"/>
        </w:rPr>
        <w:t>Enron</w:t>
      </w:r>
    </w:p>
    <w:p>
      <w:pPr>
        <w:pStyle w:val="BodyTextIndent3"/>
        <w:spacing w:lineRule="exact" w:line="280"/>
        <w:ind w:start="0" w:end="0"/>
        <w:rPr/>
      </w:pPr>
      <w:r>
        <w:rPr/>
      </w:r>
    </w:p>
    <w:p>
      <w:pPr>
        <w:pStyle w:val="BodyTextIndent3"/>
        <w:spacing w:lineRule="exact" w:line="280"/>
        <w:ind w:start="0" w:end="0"/>
        <w:rPr/>
      </w:pPr>
      <w:r>
        <w:rPr>
          <w:u w:val="single"/>
        </w:rPr>
        <w:t>Position</w:t>
      </w:r>
      <w:r>
        <w:rPr/>
        <w:t>:</w:t>
        <w:tab/>
        <w:tab/>
        <w:t>Support Comprehensive Settlement</w:t>
      </w:r>
    </w:p>
    <w:p>
      <w:pPr>
        <w:pStyle w:val="BodyTextIndent3"/>
        <w:spacing w:lineRule="exact" w:line="280"/>
        <w:ind w:start="0" w:end="0"/>
        <w:rPr/>
      </w:pPr>
      <w:r>
        <w:rPr/>
      </w:r>
    </w:p>
    <w:p>
      <w:pPr>
        <w:pStyle w:val="BodyTextIndent3"/>
        <w:spacing w:lineRule="exact" w:line="280"/>
        <w:ind w:start="0" w:end="0"/>
        <w:rPr/>
      </w:pPr>
      <w:r>
        <w:rPr>
          <w:u w:val="single"/>
        </w:rPr>
        <w:t>Issue(s)</w:t>
      </w:r>
      <w:r>
        <w:rPr/>
        <w:t>:</w:t>
        <w:tab/>
        <w:tab/>
        <w:t>None</w:t>
      </w:r>
    </w:p>
    <w:p>
      <w:pPr>
        <w:pStyle w:val="BodyTextIndent3"/>
        <w:pBdr>
          <w:bottom w:val="single" w:sz="4" w:space="1" w:color="000000"/>
        </w:pBdr>
        <w:spacing w:lineRule="exact" w:line="280"/>
        <w:ind w:start="0" w:end="0"/>
        <w:rPr/>
      </w:pPr>
      <w:r>
        <w:rPr/>
      </w:r>
    </w:p>
    <w:p>
      <w:pPr>
        <w:pStyle w:val="BodyTextIndent3"/>
        <w:spacing w:lineRule="exact" w:line="280"/>
        <w:ind w:start="0" w:end="0"/>
        <w:rPr>
          <w:b/>
          <w:u w:val="single"/>
        </w:rPr>
      </w:pPr>
      <w:r>
        <w:rPr>
          <w:b/>
          <w:u w:val="single"/>
        </w:rPr>
      </w:r>
    </w:p>
    <w:p>
      <w:pPr>
        <w:pStyle w:val="BodyTextIndent3"/>
        <w:spacing w:lineRule="exact" w:line="280"/>
        <w:ind w:start="0" w:end="0"/>
        <w:rPr>
          <w:b/>
          <w:u w:val="single"/>
        </w:rPr>
      </w:pPr>
      <w:r>
        <w:rPr>
          <w:b/>
          <w:u w:val="single"/>
        </w:rPr>
        <w:t>Amoco</w:t>
      </w:r>
    </w:p>
    <w:p>
      <w:pPr>
        <w:pStyle w:val="BodyTextIndent3"/>
        <w:spacing w:lineRule="exact" w:line="280"/>
        <w:ind w:start="0" w:end="0"/>
        <w:rPr/>
      </w:pPr>
      <w:r>
        <w:rPr/>
      </w:r>
    </w:p>
    <w:p>
      <w:pPr>
        <w:pStyle w:val="BodyTextIndent3"/>
        <w:spacing w:lineRule="exact" w:line="280"/>
        <w:ind w:start="0" w:end="0"/>
        <w:rPr/>
      </w:pPr>
      <w:r>
        <w:rPr>
          <w:u w:val="single"/>
        </w:rPr>
        <w:t>Position</w:t>
      </w:r>
      <w:r>
        <w:rPr/>
        <w:t>:</w:t>
        <w:tab/>
        <w:tab/>
        <w:t>Support Comprehensive Settlement</w:t>
      </w:r>
    </w:p>
    <w:p>
      <w:pPr>
        <w:pStyle w:val="BodyTextIndent3"/>
        <w:spacing w:lineRule="exact" w:line="280"/>
        <w:ind w:start="0" w:end="0"/>
        <w:rPr/>
      </w:pPr>
      <w:r>
        <w:rPr/>
      </w:r>
    </w:p>
    <w:p>
      <w:pPr>
        <w:pStyle w:val="BodyTextIndent3"/>
        <w:tabs>
          <w:tab w:val="clear" w:pos="720"/>
          <w:tab w:val="left" w:pos="2160" w:leader="none"/>
        </w:tabs>
        <w:spacing w:lineRule="exact" w:line="280"/>
        <w:ind w:hanging="2880" w:end="0"/>
        <w:rPr/>
      </w:pPr>
      <w:r>
        <w:rPr>
          <w:u w:val="single"/>
        </w:rPr>
        <w:t>Issues</w:t>
      </w:r>
      <w:r>
        <w:rPr/>
        <w:t>:</w:t>
        <w:tab/>
        <w:t>1.</w:t>
        <w:tab/>
        <w:t>While applauding the Comprehensive Settlement on intrastate transmission unbundling, Amoco raises the concern about a potential reduction in the number of gas buyers and, therefore, loss of liquidity.  Amoco responds to its own concern by noting all the open season iterations that the settlement requires will minimize any overbearing market concentration concerns.</w:t>
      </w:r>
    </w:p>
    <w:p>
      <w:pPr>
        <w:pStyle w:val="BodyTextIndent3"/>
        <w:spacing w:lineRule="exact" w:line="280"/>
        <w:rPr/>
      </w:pPr>
      <w:r>
        <w:rPr/>
      </w:r>
    </w:p>
    <w:p>
      <w:pPr>
        <w:pStyle w:val="BodyTextIndent3"/>
        <w:numPr>
          <w:ilvl w:val="0"/>
          <w:numId w:val="5"/>
        </w:numPr>
        <w:spacing w:lineRule="exact" w:line="280"/>
        <w:rPr/>
      </w:pPr>
      <w:r>
        <w:rPr/>
        <w:t>Amoco notes that a party or parties cannot hoard capacity visa via SoCal’s ability to sell IT services.</w:t>
      </w:r>
    </w:p>
    <w:p>
      <w:pPr>
        <w:pStyle w:val="BodyTextIndent3"/>
        <w:spacing w:lineRule="exact" w:line="280"/>
        <w:ind w:start="0" w:end="0"/>
        <w:rPr/>
      </w:pPr>
      <w:r>
        <w:rPr/>
      </w:r>
    </w:p>
    <w:p>
      <w:pPr>
        <w:pStyle w:val="BodyTextIndent3"/>
        <w:spacing w:lineRule="exact" w:line="280"/>
        <w:ind w:start="0" w:end="0"/>
        <w:rPr/>
      </w:pPr>
      <w:r>
        <w:rPr>
          <w:u w:val="single"/>
        </w:rPr>
        <w:t>TW Response</w:t>
      </w:r>
      <w:r>
        <w:rPr/>
        <w:t>:</w:t>
        <w:tab/>
        <w:t>None required.</w:t>
      </w:r>
    </w:p>
    <w:p>
      <w:pPr>
        <w:pStyle w:val="BodyTextIndent3"/>
        <w:spacing w:lineRule="exact" w:line="280"/>
        <w:ind w:start="0" w:end="0"/>
        <w:rPr/>
      </w:pPr>
      <w:r>
        <w:rPr/>
      </w:r>
    </w:p>
    <w:p>
      <w:pPr>
        <w:pStyle w:val="BodyTextIndent3"/>
        <w:spacing w:lineRule="exact" w:line="280"/>
        <w:ind w:hanging="2160" w:start="2160" w:end="0"/>
        <w:rPr/>
      </w:pPr>
      <w:r>
        <w:rPr>
          <w:u w:val="single"/>
        </w:rPr>
        <w:t>Comment</w:t>
      </w:r>
      <w:r>
        <w:rPr/>
        <w:t>:</w:t>
        <w:tab/>
        <w:t>If EPNG wanted to push its settlement issue on the 40% concentration limit, here’s where they start.</w:t>
      </w:r>
    </w:p>
    <w:p>
      <w:pPr>
        <w:pStyle w:val="BodyTextIndent3"/>
        <w:pBdr>
          <w:bottom w:val="single" w:sz="4" w:space="1" w:color="000000"/>
        </w:pBdr>
        <w:spacing w:lineRule="exact" w:line="280"/>
        <w:ind w:hanging="2160" w:start="2160" w:end="0"/>
        <w:rPr>
          <w:u w:val="single"/>
        </w:rPr>
      </w:pPr>
      <w:r>
        <w:rPr>
          <w:u w:val="single"/>
        </w:rPr>
      </w:r>
    </w:p>
    <w:p>
      <w:pPr>
        <w:pStyle w:val="BodyTextIndent3"/>
        <w:spacing w:lineRule="exact" w:line="280"/>
        <w:ind w:hanging="2160" w:start="2160" w:end="0"/>
        <w:rPr>
          <w:u w:val="single"/>
        </w:rPr>
      </w:pPr>
      <w:r>
        <w:rPr>
          <w:u w:val="single"/>
        </w:rPr>
      </w:r>
    </w:p>
    <w:p>
      <w:pPr>
        <w:pStyle w:val="BodyTextIndent3"/>
        <w:spacing w:lineRule="exact" w:line="280"/>
        <w:ind w:hanging="2160" w:start="2160" w:end="0"/>
        <w:rPr>
          <w:b/>
          <w:u w:val="single"/>
        </w:rPr>
      </w:pPr>
      <w:r>
        <w:rPr>
          <w:b/>
          <w:u w:val="single"/>
        </w:rPr>
        <w:t>Chevron</w:t>
      </w:r>
    </w:p>
    <w:p>
      <w:pPr>
        <w:pStyle w:val="BodyTextIndent3"/>
        <w:spacing w:lineRule="exact" w:line="280"/>
        <w:ind w:hanging="2160" w:start="2160" w:end="0"/>
        <w:rPr/>
      </w:pPr>
      <w:r>
        <w:rPr/>
      </w:r>
    </w:p>
    <w:p>
      <w:pPr>
        <w:pStyle w:val="BodyTextIndent3"/>
        <w:spacing w:lineRule="exact" w:line="280"/>
        <w:ind w:hanging="2160" w:start="2160" w:end="0"/>
        <w:rPr/>
      </w:pPr>
      <w:r>
        <w:rPr>
          <w:u w:val="single"/>
        </w:rPr>
        <w:t>Position</w:t>
      </w:r>
      <w:r>
        <w:rPr/>
        <w:t>:</w:t>
        <w:tab/>
        <w:t>Support Comprehensive Settlement</w:t>
      </w:r>
    </w:p>
    <w:p>
      <w:pPr>
        <w:pStyle w:val="BodyTextIndent3"/>
        <w:spacing w:lineRule="exact" w:line="280"/>
        <w:ind w:hanging="2160" w:start="2160" w:end="0"/>
        <w:rPr>
          <w:u w:val="single"/>
        </w:rPr>
      </w:pPr>
      <w:r>
        <w:rPr>
          <w:u w:val="single"/>
        </w:rPr>
      </w:r>
    </w:p>
    <w:p>
      <w:pPr>
        <w:pStyle w:val="BodyTextIndent3"/>
        <w:spacing w:lineRule="exact" w:line="280"/>
        <w:ind w:hanging="2160" w:start="2160" w:end="0"/>
        <w:rPr/>
      </w:pPr>
      <w:r>
        <w:rPr>
          <w:u w:val="single"/>
        </w:rPr>
        <w:t>Issues</w:t>
      </w:r>
      <w:r>
        <w:rPr/>
        <w:t>:</w:t>
      </w:r>
    </w:p>
    <w:p>
      <w:pPr>
        <w:pStyle w:val="BodyTextIndent3"/>
        <w:spacing w:lineRule="exact" w:line="280"/>
        <w:ind w:hanging="2160" w:start="2160" w:end="0"/>
        <w:rPr>
          <w:u w:val="single"/>
        </w:rPr>
      </w:pPr>
      <w:r>
        <w:rPr>
          <w:u w:val="single"/>
        </w:rPr>
      </w:r>
    </w:p>
    <w:p>
      <w:pPr>
        <w:pStyle w:val="BodyTextIndent3"/>
        <w:numPr>
          <w:ilvl w:val="0"/>
          <w:numId w:val="3"/>
        </w:numPr>
        <w:spacing w:lineRule="exact" w:line="280"/>
        <w:rPr/>
      </w:pPr>
      <w:r>
        <w:rPr/>
        <w:t>Highlights settlement’s recognition that existing in-state producer receipt point access agreements are secure.</w:t>
      </w:r>
    </w:p>
    <w:p>
      <w:pPr>
        <w:pStyle w:val="BodyTextIndent3"/>
        <w:spacing w:lineRule="exact" w:line="280"/>
        <w:ind w:start="0" w:end="0"/>
        <w:rPr/>
      </w:pPr>
      <w:r>
        <w:rPr/>
      </w:r>
    </w:p>
    <w:p>
      <w:pPr>
        <w:pStyle w:val="BodyTextIndent3"/>
        <w:numPr>
          <w:ilvl w:val="0"/>
          <w:numId w:val="3"/>
        </w:numPr>
        <w:spacing w:lineRule="exact" w:line="280"/>
        <w:rPr/>
      </w:pPr>
      <w:r>
        <w:rPr/>
        <w:t>Notes seasonal capacity of 180 MMcfd (maximum) up from 120 MMcfd will be available on Line 85.</w:t>
      </w:r>
    </w:p>
    <w:p>
      <w:pPr>
        <w:pStyle w:val="BodyTextIndent3"/>
        <w:spacing w:lineRule="exact" w:line="280"/>
        <w:ind w:start="0" w:end="0"/>
        <w:rPr/>
      </w:pPr>
      <w:r>
        <w:rPr/>
      </w:r>
    </w:p>
    <w:p>
      <w:pPr>
        <w:pStyle w:val="BodyTextIndent3"/>
        <w:numPr>
          <w:ilvl w:val="0"/>
          <w:numId w:val="3"/>
        </w:numPr>
        <w:spacing w:lineRule="exact" w:line="280"/>
        <w:rPr/>
      </w:pPr>
      <w:r>
        <w:rPr/>
        <w:t>SoCal assures that Line 85 capacity will be maintained during the agreement.</w:t>
      </w:r>
    </w:p>
    <w:p>
      <w:pPr>
        <w:pStyle w:val="BodyTextIndent3"/>
        <w:spacing w:lineRule="exact" w:line="280"/>
        <w:ind w:start="0" w:end="0"/>
        <w:rPr/>
      </w:pPr>
      <w:r>
        <w:rPr/>
      </w:r>
    </w:p>
    <w:p>
      <w:pPr>
        <w:pStyle w:val="BodyTextIndent3"/>
        <w:numPr>
          <w:ilvl w:val="0"/>
          <w:numId w:val="3"/>
        </w:numPr>
        <w:spacing w:lineRule="exact" w:line="280"/>
        <w:rPr/>
      </w:pPr>
      <w:r>
        <w:rPr/>
        <w:t>Applauds Citygate market’s likely contribution to market liquidity.</w:t>
      </w:r>
    </w:p>
    <w:p>
      <w:pPr>
        <w:pStyle w:val="BodyTextIndent3"/>
        <w:spacing w:lineRule="exact" w:line="280"/>
        <w:ind w:start="0" w:end="0"/>
        <w:rPr/>
      </w:pPr>
      <w:r>
        <w:rPr/>
      </w:r>
    </w:p>
    <w:p>
      <w:pPr>
        <w:pStyle w:val="BodyTextIndent3"/>
        <w:spacing w:lineRule="exact" w:line="280"/>
        <w:ind w:start="0" w:end="0"/>
        <w:rPr/>
      </w:pPr>
      <w:r>
        <w:rPr>
          <w:u w:val="single"/>
        </w:rPr>
        <w:t>TW Response</w:t>
      </w:r>
      <w:r>
        <w:rPr/>
        <w:t>:</w:t>
        <w:tab/>
        <w:t>None required.</w:t>
      </w:r>
    </w:p>
    <w:p>
      <w:pPr>
        <w:pStyle w:val="BodyTextIndent3"/>
        <w:spacing w:lineRule="exact" w:line="280"/>
        <w:ind w:start="0" w:end="0"/>
        <w:rPr/>
      </w:pPr>
      <w:r>
        <w:rPr/>
      </w:r>
    </w:p>
    <w:p>
      <w:pPr>
        <w:pStyle w:val="BodyTextIndent3"/>
        <w:spacing w:lineRule="exact" w:line="280"/>
        <w:ind w:start="0" w:end="0"/>
        <w:rPr>
          <w:b/>
          <w:u w:val="single"/>
        </w:rPr>
      </w:pPr>
      <w:r>
        <w:rPr>
          <w:b/>
          <w:u w:val="single"/>
        </w:rPr>
      </w:r>
    </w:p>
    <w:p>
      <w:pPr>
        <w:pStyle w:val="BodyTextIndent3"/>
        <w:spacing w:lineRule="exact" w:line="280"/>
        <w:ind w:start="0" w:end="0"/>
        <w:rPr>
          <w:b/>
          <w:u w:val="single"/>
        </w:rPr>
      </w:pPr>
      <w:r>
        <w:rPr>
          <w:b/>
          <w:u w:val="single"/>
        </w:rPr>
        <w:t>City of Long Beach</w:t>
      </w:r>
    </w:p>
    <w:p>
      <w:pPr>
        <w:pStyle w:val="BodyTextIndent3"/>
        <w:spacing w:lineRule="exact" w:line="280"/>
        <w:ind w:start="0" w:end="0"/>
        <w:rPr/>
      </w:pPr>
      <w:r>
        <w:rPr/>
      </w:r>
    </w:p>
    <w:p>
      <w:pPr>
        <w:pStyle w:val="BodyTextIndent3"/>
        <w:spacing w:lineRule="exact" w:line="280"/>
        <w:ind w:start="0" w:end="0"/>
        <w:rPr/>
      </w:pPr>
      <w:r>
        <w:rPr>
          <w:u w:val="single"/>
        </w:rPr>
        <w:t>Position</w:t>
      </w:r>
      <w:r>
        <w:rPr/>
        <w:t>:</w:t>
        <w:tab/>
        <w:tab/>
        <w:t>Supports neither “Interim” Settlement nor the Comprehensive Settlement</w:t>
      </w:r>
    </w:p>
    <w:p>
      <w:pPr>
        <w:pStyle w:val="BodyTextIndent3"/>
        <w:spacing w:lineRule="exact" w:line="280"/>
        <w:ind w:start="0" w:end="0"/>
        <w:rPr/>
      </w:pPr>
      <w:r>
        <w:rPr/>
      </w:r>
    </w:p>
    <w:p>
      <w:pPr>
        <w:pStyle w:val="BodyTextIndent3"/>
        <w:tabs>
          <w:tab w:val="clear" w:pos="720"/>
          <w:tab w:val="left" w:pos="2160" w:leader="none"/>
        </w:tabs>
        <w:spacing w:lineRule="exact" w:line="280"/>
        <w:ind w:hanging="2880" w:end="0"/>
        <w:rPr/>
      </w:pPr>
      <w:r>
        <w:rPr>
          <w:u w:val="single"/>
        </w:rPr>
        <w:t>Issues</w:t>
      </w:r>
      <w:r>
        <w:rPr/>
        <w:t>:</w:t>
        <w:tab/>
        <w:t>1.</w:t>
        <w:tab/>
        <w:t>Intervenes to resist the inappropriate imposition of higher cost(s); as well as the degradation of SoCal service.</w:t>
      </w:r>
    </w:p>
    <w:p>
      <w:pPr>
        <w:pStyle w:val="BodyTextIndent3"/>
        <w:spacing w:lineRule="exact" w:line="280"/>
        <w:ind w:start="0" w:end="0"/>
        <w:rPr/>
      </w:pPr>
      <w:r>
        <w:rPr/>
      </w:r>
    </w:p>
    <w:p>
      <w:pPr>
        <w:pStyle w:val="BodyTextIndent3"/>
        <w:tabs>
          <w:tab w:val="clear" w:pos="720"/>
          <w:tab w:val="left" w:pos="2880" w:leader="none"/>
        </w:tabs>
        <w:spacing w:lineRule="exact" w:line="280"/>
        <w:ind w:hanging="1440" w:start="3600" w:end="0"/>
        <w:rPr/>
      </w:pPr>
      <w:r>
        <w:rPr/>
        <w:t>2.</w:t>
        <w:tab/>
        <w:t>(a)</w:t>
        <w:tab/>
        <w:t>Proposes that SoCal auction off its firm receipt point capacity at each receipt point on its system, with no minimum bids.  The winning bid would become the market-clearing price for each receipt point.</w:t>
      </w:r>
    </w:p>
    <w:p>
      <w:pPr>
        <w:pStyle w:val="BodyTextIndent3"/>
        <w:tabs>
          <w:tab w:val="clear" w:pos="720"/>
          <w:tab w:val="left" w:pos="2880" w:leader="none"/>
        </w:tabs>
        <w:spacing w:lineRule="exact" w:line="280"/>
        <w:ind w:hanging="1440" w:start="3600" w:end="0"/>
        <w:rPr/>
      </w:pPr>
      <w:r>
        <w:rPr/>
      </w:r>
    </w:p>
    <w:p>
      <w:pPr>
        <w:pStyle w:val="BodyTextIndent3"/>
        <w:numPr>
          <w:ilvl w:val="0"/>
          <w:numId w:val="11"/>
        </w:numPr>
        <w:tabs>
          <w:tab w:val="clear" w:pos="720"/>
          <w:tab w:val="left" w:pos="2880" w:leader="none"/>
        </w:tabs>
        <w:spacing w:lineRule="exact" w:line="280"/>
        <w:ind w:hanging="720" w:start="3600" w:end="0"/>
        <w:rPr/>
      </w:pPr>
      <w:r>
        <w:rPr/>
        <w:t>Auction revenues would be allocated to all SoCal customers on an equal cents per therm basis.</w:t>
      </w:r>
    </w:p>
    <w:p>
      <w:pPr>
        <w:pStyle w:val="BodyTextIndent3"/>
        <w:tabs>
          <w:tab w:val="clear" w:pos="720"/>
          <w:tab w:val="left" w:pos="2880" w:leader="none"/>
        </w:tabs>
        <w:spacing w:lineRule="exact" w:line="280"/>
        <w:ind w:start="0" w:end="0"/>
        <w:rPr/>
      </w:pPr>
      <w:r>
        <w:rPr/>
      </w:r>
    </w:p>
    <w:p>
      <w:pPr>
        <w:pStyle w:val="BodyTextIndent3"/>
        <w:numPr>
          <w:ilvl w:val="0"/>
          <w:numId w:val="11"/>
        </w:numPr>
        <w:tabs>
          <w:tab w:val="clear" w:pos="720"/>
          <w:tab w:val="left" w:pos="2880" w:leader="none"/>
        </w:tabs>
        <w:spacing w:lineRule="exact" w:line="280"/>
        <w:ind w:hanging="720" w:start="3600" w:end="0"/>
        <w:rPr/>
      </w:pPr>
      <w:r>
        <w:rPr/>
        <w:t>Standard transmission service remains “volumetric”.</w:t>
      </w:r>
    </w:p>
    <w:p>
      <w:pPr>
        <w:pStyle w:val="BodyTextIndent3"/>
        <w:tabs>
          <w:tab w:val="clear" w:pos="720"/>
          <w:tab w:val="left" w:pos="2880" w:leader="none"/>
        </w:tabs>
        <w:spacing w:lineRule="exact" w:line="280"/>
        <w:ind w:start="0" w:end="0"/>
        <w:rPr/>
      </w:pPr>
      <w:r>
        <w:rPr/>
      </w:r>
    </w:p>
    <w:p>
      <w:pPr>
        <w:pStyle w:val="BodyTextIndent3"/>
        <w:numPr>
          <w:ilvl w:val="0"/>
          <w:numId w:val="11"/>
        </w:numPr>
        <w:tabs>
          <w:tab w:val="clear" w:pos="720"/>
          <w:tab w:val="left" w:pos="2880" w:leader="none"/>
        </w:tabs>
        <w:spacing w:lineRule="exact" w:line="280"/>
        <w:ind w:hanging="720" w:start="3600" w:end="0"/>
        <w:rPr/>
      </w:pPr>
      <w:r>
        <w:rPr/>
        <w:t>Long Beach cites issues at Hector Road without much comment or advocation.</w:t>
      </w:r>
    </w:p>
    <w:p>
      <w:pPr>
        <w:pStyle w:val="BodyTextIndent3"/>
        <w:tabs>
          <w:tab w:val="clear" w:pos="720"/>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hanging="2880" w:end="0"/>
        <w:rPr/>
      </w:pPr>
      <w:r>
        <w:rPr>
          <w:u w:val="single"/>
        </w:rPr>
        <w:t>TW Responses</w:t>
      </w:r>
      <w:r>
        <w:rPr/>
        <w:t>:</w:t>
        <w:tab/>
        <w:t>1 through 2 (a)-(d):  Yes, TW should coordinate with other parties for a unified rejection of this “auction” proposal.  A whole host of negative impacts could result from an “auction only” approach such as “access fees” being added to SoCal customer’s cost of supply, and inappropriate reallocation of monies between receipt point users. Further, Long Beach’s proposal for SoCal customers has numerous unspecified questions and answers in its proposal such as SoCal windows, IT capacity allocation, etc.</w:t>
      </w:r>
    </w:p>
    <w:p>
      <w:pPr>
        <w:pStyle w:val="BodyTextIndent3"/>
        <w:pBdr>
          <w:bottom w:val="single" w:sz="4" w:space="1" w:color="000000"/>
        </w:pBdr>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b/>
          <w:u w:val="single"/>
        </w:rPr>
      </w:pPr>
      <w:r>
        <w:rPr>
          <w:b/>
          <w:u w:val="single"/>
        </w:rPr>
      </w:r>
    </w:p>
    <w:p>
      <w:pPr>
        <w:pStyle w:val="BodyTextIndent3"/>
        <w:tabs>
          <w:tab w:val="clear" w:pos="720"/>
          <w:tab w:val="left" w:pos="2160" w:leader="none"/>
          <w:tab w:val="left" w:pos="2880" w:leader="none"/>
        </w:tabs>
        <w:spacing w:lineRule="exact" w:line="280"/>
        <w:ind w:start="0" w:end="0"/>
        <w:rPr>
          <w:u w:val="single"/>
        </w:rPr>
      </w:pPr>
      <w:r>
        <w:rPr>
          <w:b/>
          <w:u w:val="single"/>
        </w:rPr>
        <w:t>Post-Interim Settlement Group</w:t>
      </w:r>
    </w:p>
    <w:p>
      <w:pPr>
        <w:pStyle w:val="BodyTextIndent3"/>
        <w:tabs>
          <w:tab w:val="clear" w:pos="720"/>
          <w:tab w:val="left" w:pos="2160" w:leader="none"/>
          <w:tab w:val="left" w:pos="2880" w:leader="none"/>
        </w:tabs>
        <w:spacing w:lineRule="exact" w:line="280"/>
        <w:ind w:start="0" w:end="0"/>
        <w:rPr>
          <w:u w:val="single"/>
        </w:rPr>
      </w:pPr>
      <w:r>
        <w:rPr>
          <w:u w:val="single"/>
        </w:rPr>
      </w:r>
    </w:p>
    <w:p>
      <w:pPr>
        <w:pStyle w:val="BodyTextIndent3"/>
        <w:tabs>
          <w:tab w:val="clear" w:pos="720"/>
          <w:tab w:val="left" w:pos="2160" w:leader="none"/>
          <w:tab w:val="left" w:pos="2880" w:leader="none"/>
        </w:tabs>
        <w:spacing w:lineRule="exact" w:line="280"/>
        <w:ind w:start="0" w:end="0"/>
        <w:rPr/>
      </w:pPr>
      <w:r>
        <w:rPr>
          <w:u w:val="single"/>
        </w:rPr>
        <w:t>Position</w:t>
      </w:r>
      <w:r>
        <w:rPr/>
        <w:t>:</w:t>
        <w:tab/>
        <w:t>Against unbundling.</w:t>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u w:val="single"/>
        </w:rPr>
      </w:pPr>
      <w:r>
        <w:rPr>
          <w:u w:val="single"/>
        </w:rPr>
        <w:t>Issues Pertinent</w:t>
      </w:r>
    </w:p>
    <w:p>
      <w:pPr>
        <w:pStyle w:val="BodyTextIndent3"/>
        <w:tabs>
          <w:tab w:val="clear" w:pos="720"/>
          <w:tab w:val="left" w:pos="2160" w:leader="none"/>
          <w:tab w:val="left" w:pos="2880" w:leader="none"/>
        </w:tabs>
        <w:spacing w:lineRule="exact" w:line="280"/>
        <w:ind w:hanging="2880" w:end="0"/>
        <w:rPr/>
      </w:pPr>
      <w:r>
        <w:rPr>
          <w:u w:val="single"/>
        </w:rPr>
        <w:t>to TW</w:t>
      </w:r>
      <w:r>
        <w:rPr/>
        <w:t>:</w:t>
        <w:tab/>
        <w:t>1.</w:t>
        <w:tab/>
        <w:t>Precludes unbundling of intrastate backbone transmission cost and imposition of demand charges until 9/1/2006; except in the context of the RLS replacement tariff – “SoCal’s peaking tariff”</w:t>
      </w:r>
    </w:p>
    <w:p>
      <w:pPr>
        <w:pStyle w:val="BodyTextIndent3"/>
        <w:tabs>
          <w:tab w:val="clear" w:pos="720"/>
          <w:tab w:val="left" w:pos="2160" w:leader="none"/>
          <w:tab w:val="left" w:pos="2880" w:leader="none"/>
        </w:tabs>
        <w:spacing w:lineRule="exact" w:line="280"/>
        <w:ind w:start="0" w:end="0"/>
        <w:rPr/>
      </w:pPr>
      <w:r>
        <w:rPr/>
      </w:r>
    </w:p>
    <w:p>
      <w:pPr>
        <w:pStyle w:val="BodyTextIndent3"/>
        <w:spacing w:lineRule="exact" w:line="280"/>
        <w:ind w:hanging="720" w:end="0"/>
        <w:rPr/>
      </w:pPr>
      <w:r>
        <w:rPr/>
        <w:t>2.</w:t>
        <w:tab/>
        <w:t xml:space="preserve">PG&amp;E unbundled backbone system </w:t>
      </w:r>
      <w:r>
        <w:rPr>
          <w:u w:val="single"/>
        </w:rPr>
        <w:t>has not</w:t>
      </w:r>
      <w:r>
        <w:rPr/>
        <w:t xml:space="preserve"> improved market efficiencies or benefited customers in Northern California.</w:t>
      </w:r>
    </w:p>
    <w:p>
      <w:pPr>
        <w:pStyle w:val="BodyTextIndent3"/>
        <w:tabs>
          <w:tab w:val="clear" w:pos="720"/>
          <w:tab w:val="left" w:pos="2160" w:leader="none"/>
          <w:tab w:val="left" w:pos="2880" w:leader="none"/>
        </w:tabs>
        <w:spacing w:lineRule="exact" w:line="280"/>
        <w:rPr/>
      </w:pPr>
      <w:r>
        <w:rPr/>
      </w:r>
    </w:p>
    <w:p>
      <w:pPr>
        <w:pStyle w:val="BodyTextIndent3"/>
        <w:numPr>
          <w:ilvl w:val="0"/>
          <w:numId w:val="5"/>
        </w:numPr>
        <w:tabs>
          <w:tab w:val="clear" w:pos="720"/>
          <w:tab w:val="left" w:pos="2160" w:leader="none"/>
        </w:tabs>
        <w:spacing w:lineRule="exact" w:line="280"/>
        <w:rPr/>
      </w:pPr>
      <w:r>
        <w:rPr/>
        <w:t>SoCal’s situation simply isn’t like PG&amp;E’s Gas Accord situation that led to unbundling solutions.</w:t>
      </w:r>
    </w:p>
    <w:p>
      <w:pPr>
        <w:pStyle w:val="BodyTextIndent3"/>
        <w:tabs>
          <w:tab w:val="clear" w:pos="720"/>
          <w:tab w:val="left" w:pos="2160" w:leader="none"/>
        </w:tabs>
        <w:spacing w:lineRule="exact" w:line="280"/>
        <w:ind w:start="0" w:end="0"/>
        <w:rPr/>
      </w:pPr>
      <w:r>
        <w:rPr/>
      </w:r>
    </w:p>
    <w:p>
      <w:pPr>
        <w:pStyle w:val="BodyTextIndent3"/>
        <w:numPr>
          <w:ilvl w:val="0"/>
          <w:numId w:val="7"/>
        </w:numPr>
        <w:tabs>
          <w:tab w:val="clear" w:pos="720"/>
          <w:tab w:val="left" w:pos="2160" w:leader="none"/>
          <w:tab w:val="left" w:pos="2880" w:leader="none"/>
        </w:tabs>
        <w:spacing w:lineRule="exact" w:line="280"/>
        <w:ind w:hanging="720" w:start="3600" w:end="0"/>
        <w:rPr/>
      </w:pPr>
      <w:r>
        <w:rPr/>
        <w:t>Regulatory agenda</w:t>
      </w:r>
    </w:p>
    <w:p>
      <w:pPr>
        <w:pStyle w:val="BodyTextIndent3"/>
        <w:numPr>
          <w:ilvl w:val="0"/>
          <w:numId w:val="7"/>
        </w:numPr>
        <w:tabs>
          <w:tab w:val="clear" w:pos="720"/>
          <w:tab w:val="left" w:pos="2160" w:leader="none"/>
          <w:tab w:val="left" w:pos="2880" w:leader="none"/>
        </w:tabs>
        <w:spacing w:lineRule="exact" w:line="280"/>
        <w:ind w:hanging="720" w:start="3600" w:end="0"/>
        <w:rPr/>
      </w:pPr>
      <w:r>
        <w:rPr/>
        <w:t>Out-of-market expansion project</w:t>
      </w:r>
    </w:p>
    <w:p>
      <w:pPr>
        <w:pStyle w:val="BodyTextIndent3"/>
        <w:numPr>
          <w:ilvl w:val="0"/>
          <w:numId w:val="7"/>
        </w:numPr>
        <w:tabs>
          <w:tab w:val="clear" w:pos="720"/>
          <w:tab w:val="left" w:pos="2160" w:leader="none"/>
          <w:tab w:val="left" w:pos="2880" w:leader="none"/>
        </w:tabs>
        <w:spacing w:lineRule="exact" w:line="280"/>
        <w:ind w:hanging="720" w:start="3600" w:end="0"/>
        <w:rPr/>
      </w:pPr>
      <w:r>
        <w:rPr/>
        <w:t>Direct connect threats</w:t>
      </w:r>
    </w:p>
    <w:p>
      <w:pPr>
        <w:pStyle w:val="BodyTextIndent3"/>
        <w:numPr>
          <w:ilvl w:val="0"/>
          <w:numId w:val="7"/>
        </w:numPr>
        <w:tabs>
          <w:tab w:val="clear" w:pos="720"/>
          <w:tab w:val="left" w:pos="2160" w:leader="none"/>
          <w:tab w:val="left" w:pos="2880" w:leader="none"/>
        </w:tabs>
        <w:spacing w:lineRule="exact" w:line="280"/>
        <w:ind w:hanging="720" w:start="3600" w:end="0"/>
        <w:rPr/>
      </w:pPr>
      <w:r>
        <w:rPr/>
        <w:t>Basin/supply price differentials</w:t>
      </w:r>
    </w:p>
    <w:p>
      <w:pPr>
        <w:pStyle w:val="BodyTextIndent3"/>
        <w:numPr>
          <w:ilvl w:val="0"/>
          <w:numId w:val="7"/>
        </w:numPr>
        <w:tabs>
          <w:tab w:val="clear" w:pos="720"/>
          <w:tab w:val="left" w:pos="2160" w:leader="none"/>
          <w:tab w:val="left" w:pos="2880" w:leader="none"/>
        </w:tabs>
        <w:spacing w:lineRule="exact" w:line="280"/>
        <w:ind w:hanging="720" w:start="3600" w:end="0"/>
        <w:rPr/>
      </w:pPr>
      <w:r>
        <w:rPr/>
        <w:t>Availability of storage</w:t>
      </w:r>
    </w:p>
    <w:p>
      <w:pPr>
        <w:pStyle w:val="BodyTextIndent3"/>
        <w:tabs>
          <w:tab w:val="clear" w:pos="720"/>
          <w:tab w:val="left" w:pos="2160" w:leader="none"/>
          <w:tab w:val="left" w:pos="2880" w:leader="none"/>
        </w:tabs>
        <w:spacing w:lineRule="exact" w:line="280"/>
        <w:rPr/>
      </w:pPr>
      <w:r>
        <w:rPr/>
      </w:r>
    </w:p>
    <w:p>
      <w:pPr>
        <w:pStyle w:val="BodyTextIndent3"/>
        <w:numPr>
          <w:ilvl w:val="0"/>
          <w:numId w:val="5"/>
        </w:numPr>
        <w:tabs>
          <w:tab w:val="clear" w:pos="720"/>
          <w:tab w:val="left" w:pos="2160" w:leader="none"/>
        </w:tabs>
        <w:spacing w:lineRule="exact" w:line="280"/>
        <w:rPr/>
      </w:pPr>
      <w:r>
        <w:rPr/>
        <w:t>While serious concerns have been raised concerning SoCal’s windowing procedures, resolution doesn’t require unbundling.</w:t>
      </w:r>
    </w:p>
    <w:p>
      <w:pPr>
        <w:pStyle w:val="BodyTextIndent3"/>
        <w:tabs>
          <w:tab w:val="clear" w:pos="720"/>
          <w:tab w:val="left" w:pos="2160" w:leader="none"/>
          <w:tab w:val="left" w:pos="2880" w:leader="none"/>
        </w:tabs>
        <w:spacing w:lineRule="exact" w:line="280"/>
        <w:rPr/>
      </w:pPr>
      <w:r>
        <w:rPr/>
      </w:r>
    </w:p>
    <w:p>
      <w:pPr>
        <w:pStyle w:val="BodyTextIndent3"/>
        <w:numPr>
          <w:ilvl w:val="0"/>
          <w:numId w:val="5"/>
        </w:numPr>
        <w:tabs>
          <w:tab w:val="clear" w:pos="720"/>
          <w:tab w:val="left" w:pos="2160" w:leader="none"/>
        </w:tabs>
        <w:spacing w:lineRule="exact" w:line="280"/>
        <w:rPr/>
      </w:pPr>
      <w:r>
        <w:rPr/>
        <w:t>(Page 9, Section 2.2 Weil)</w:t>
      </w:r>
    </w:p>
    <w:p>
      <w:pPr>
        <w:pStyle w:val="BodyTextIndent3"/>
        <w:tabs>
          <w:tab w:val="clear" w:pos="720"/>
          <w:tab w:val="left" w:pos="2160" w:leader="none"/>
        </w:tabs>
        <w:spacing w:lineRule="exact" w:line="280"/>
        <w:rPr/>
      </w:pPr>
      <w:r>
        <w:rPr/>
        <w:t>Unbundling serves two functions:</w:t>
      </w:r>
    </w:p>
    <w:p>
      <w:pPr>
        <w:pStyle w:val="BodyTextIndent3"/>
        <w:tabs>
          <w:tab w:val="clear" w:pos="720"/>
          <w:tab w:val="left" w:pos="2160" w:leader="none"/>
        </w:tabs>
        <w:spacing w:lineRule="exact" w:line="280"/>
        <w:rPr/>
      </w:pPr>
      <w:r>
        <w:rPr/>
      </w:r>
    </w:p>
    <w:p>
      <w:pPr>
        <w:pStyle w:val="BodyTextIndent3"/>
        <w:numPr>
          <w:ilvl w:val="0"/>
          <w:numId w:val="6"/>
        </w:numPr>
        <w:tabs>
          <w:tab w:val="clear" w:pos="720"/>
          <w:tab w:val="left" w:pos="2160" w:leader="none"/>
        </w:tabs>
        <w:spacing w:lineRule="exact" w:line="280"/>
        <w:rPr/>
      </w:pPr>
      <w:r>
        <w:rPr/>
        <w:t>Introduces price competition to inefficient elements of utility service; and</w:t>
      </w:r>
    </w:p>
    <w:p>
      <w:pPr>
        <w:pStyle w:val="BodyTextIndent3"/>
        <w:tabs>
          <w:tab w:val="clear" w:pos="720"/>
          <w:tab w:val="left" w:pos="2160" w:leader="none"/>
        </w:tabs>
        <w:spacing w:lineRule="exact" w:line="280"/>
        <w:rPr/>
      </w:pPr>
      <w:r>
        <w:rPr/>
      </w:r>
    </w:p>
    <w:p>
      <w:pPr>
        <w:pStyle w:val="BodyTextIndent3"/>
        <w:numPr>
          <w:ilvl w:val="0"/>
          <w:numId w:val="6"/>
        </w:numPr>
        <w:tabs>
          <w:tab w:val="clear" w:pos="720"/>
          <w:tab w:val="left" w:pos="2160" w:leader="none"/>
        </w:tabs>
        <w:spacing w:lineRule="exact" w:line="280"/>
        <w:rPr/>
      </w:pPr>
      <w:r>
        <w:rPr/>
        <w:t>Allows customers to eliminate unnecessary elements of bundled service.</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Weil makes the case that SoCal border values are essentially the same.</w:t>
      </w:r>
    </w:p>
    <w:p>
      <w:pPr>
        <w:pStyle w:val="BodyTextIndent3"/>
        <w:tabs>
          <w:tab w:val="clear" w:pos="720"/>
          <w:tab w:val="left" w:pos="2160" w:leader="none"/>
        </w:tabs>
        <w:spacing w:lineRule="exact" w:line="280"/>
        <w:rPr/>
      </w:pPr>
      <w:r>
        <w:rPr/>
      </w:r>
    </w:p>
    <w:p>
      <w:pPr>
        <w:pStyle w:val="BodyTextIndent3"/>
        <w:numPr>
          <w:ilvl w:val="0"/>
          <w:numId w:val="5"/>
        </w:numPr>
        <w:tabs>
          <w:tab w:val="clear" w:pos="720"/>
          <w:tab w:val="left" w:pos="2160" w:leader="none"/>
        </w:tabs>
        <w:spacing w:lineRule="exact" w:line="280"/>
        <w:rPr/>
      </w:pPr>
      <w:r>
        <w:rPr/>
        <w:t xml:space="preserve">That at 2¢/Dth savings, typical “residential” core customers </w:t>
      </w:r>
      <w:r>
        <w:rPr>
          <w:u w:val="single"/>
        </w:rPr>
        <w:t>would not</w:t>
      </w:r>
      <w:r>
        <w:rPr/>
        <w:t xml:space="preserve"> purchase and rebundle separate services.</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Strongly suggest marketers are the likely holders and beneficiaries of unbundled transmission capacity.</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(Page 13, Section 2.3 Yap).  Yap suggests that it may be possible to put a system of capacity rights into practice, but such a change is not required.</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 xml:space="preserve">Raised issue that marketers holding significant intrastate capacity will be able to charge a </w:t>
      </w:r>
      <w:r>
        <w:rPr>
          <w:u w:val="single"/>
        </w:rPr>
        <w:t xml:space="preserve">premium </w:t>
      </w:r>
      <w:r>
        <w:rPr/>
        <w:t>during periods of constraint.  She references recent FERC 637 Order.  Finding of Facts</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 xml:space="preserve">The existing rights of SoCal customers to nominate gas supply at any receipt point provide customers </w:t>
      </w:r>
      <w:r>
        <w:rPr>
          <w:u w:val="single"/>
        </w:rPr>
        <w:t>all</w:t>
      </w:r>
      <w:r>
        <w:rPr/>
        <w:t xml:space="preserve"> the flexibility they need.</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 xml:space="preserve">Testimony pits customers’ interest and vulnerability </w:t>
      </w:r>
      <w:r>
        <w:rPr>
          <w:u w:val="single"/>
        </w:rPr>
        <w:t>against</w:t>
      </w:r>
      <w:r>
        <w:rPr/>
        <w:t xml:space="preserve"> non-regulated marketers.</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Hector Road is listed but not emphasized.</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(Page 17).  The group notes the catch 22 of gas scheduling and Cal-PX day forward scheduling; that is that awards for electric generation to PX come after 1</w:t>
      </w:r>
      <w:r>
        <w:rPr>
          <w:vertAlign w:val="superscript"/>
        </w:rPr>
        <w:t>st</w:t>
      </w:r>
      <w:r>
        <w:rPr/>
        <w:t xml:space="preserve"> cycle gas nominations and before 2</w:t>
      </w:r>
      <w:r>
        <w:rPr>
          <w:vertAlign w:val="superscript"/>
        </w:rPr>
        <w:t>nd</w:t>
      </w:r>
      <w:r>
        <w:rPr/>
        <w:t xml:space="preserve"> gas nomination deadlines.</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The group suggests the worst outcomes result from unbundling of the transmission system; such as loss of jobs, economic viability of marginal existing on-system electric generation, grid reliability, etc.</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rPr/>
      </w:pPr>
      <w:r>
        <w:rPr/>
        <w:t>Comments:</w:t>
        <w:tab/>
        <w:t>A real problem that unfortunately we are caught up in, is the fact that California’s ISO has imposed both capacity (MW) and generation (MWH) price caps, which are a real frustration to California generators.  So part of their mission herein goes well beyond the merits of a SoCal gas industry settlement.</w:t>
      </w:r>
    </w:p>
    <w:p>
      <w:pPr>
        <w:pStyle w:val="BodyTextIndent3"/>
        <w:tabs>
          <w:tab w:val="clear" w:pos="720"/>
          <w:tab w:val="left" w:pos="2160" w:leader="none"/>
        </w:tabs>
        <w:spacing w:lineRule="exact" w:line="280"/>
        <w:rPr/>
      </w:pPr>
      <w:r>
        <w:rPr/>
      </w:r>
    </w:p>
    <w:p>
      <w:pPr>
        <w:pStyle w:val="BodyTextIndent3"/>
        <w:numPr>
          <w:ilvl w:val="0"/>
          <w:numId w:val="5"/>
        </w:numPr>
        <w:tabs>
          <w:tab w:val="clear" w:pos="720"/>
          <w:tab w:val="left" w:pos="2160" w:leader="none"/>
        </w:tabs>
        <w:spacing w:lineRule="exact" w:line="280"/>
        <w:rPr/>
      </w:pPr>
      <w:r>
        <w:rPr/>
        <w:t>The group makes an accurate observation that on L235 west of the Newberry Compressor Station, the SoCal system becomes extensively networked.</w:t>
      </w:r>
    </w:p>
    <w:p>
      <w:pPr>
        <w:pStyle w:val="BodyTextIndent3"/>
        <w:tabs>
          <w:tab w:val="clear" w:pos="720"/>
          <w:tab w:val="left" w:pos="2160" w:leader="none"/>
        </w:tabs>
        <w:spacing w:lineRule="exact" w:line="280"/>
        <w:ind w:start="0" w:end="0"/>
        <w:rPr/>
      </w:pPr>
      <w:r>
        <w:rPr/>
      </w:r>
    </w:p>
    <w:p>
      <w:pPr>
        <w:pStyle w:val="BodyTextIndent3"/>
        <w:numPr>
          <w:ilvl w:val="0"/>
          <w:numId w:val="5"/>
        </w:numPr>
        <w:tabs>
          <w:tab w:val="clear" w:pos="720"/>
          <w:tab w:val="left" w:pos="2160" w:leader="none"/>
        </w:tabs>
        <w:spacing w:lineRule="exact" w:line="280"/>
        <w:rPr/>
      </w:pPr>
      <w:r>
        <w:rPr/>
        <w:t>Florio (page 37/38) – Testimony acknowledged Hector Road as a formal receipt point at 50 MMcfd; then suggests this meets the Commission’s objectives.</w:t>
      </w:r>
    </w:p>
    <w:p>
      <w:pPr>
        <w:pStyle w:val="BodyTextIndent3"/>
        <w:tabs>
          <w:tab w:val="clear" w:pos="720"/>
          <w:tab w:val="left" w:pos="2880" w:leader="none"/>
        </w:tabs>
        <w:spacing w:lineRule="exact" w:line="280"/>
        <w:ind w:start="0" w:end="0"/>
        <w:rPr/>
      </w:pPr>
      <w:r>
        <w:rPr/>
      </w:r>
    </w:p>
    <w:p>
      <w:pPr>
        <w:pStyle w:val="BodyTextIndent3"/>
        <w:spacing w:lineRule="exact" w:line="280"/>
        <w:ind w:hanging="2160" w:start="2160" w:end="0"/>
        <w:rPr/>
      </w:pPr>
      <w:r>
        <w:rPr>
          <w:u w:val="single"/>
        </w:rPr>
        <w:t>TW Response</w:t>
      </w:r>
      <w:r>
        <w:rPr/>
        <w:t>:</w:t>
        <w:tab/>
        <w:t>I understand later today the Comprehensive Settlement Group will be conferencing to formulate their response to the Post-Interim Settlement Group.  Let me know how involved and what role TW wants to commit itself to.  Obviously, there’s a lot of response position required.  But, as I previously suggested, the opposing settlement will lean heavily on the cost/benefit argument, so no surprise.</w:t>
      </w:r>
    </w:p>
    <w:p>
      <w:pPr>
        <w:pStyle w:val="BodyTextIndent3"/>
        <w:spacing w:lineRule="exact" w:line="280"/>
        <w:ind w:start="0" w:end="0"/>
        <w:rPr/>
      </w:pPr>
      <w:r>
        <w:rPr/>
      </w:r>
    </w:p>
    <w:p>
      <w:pPr>
        <w:pStyle w:val="BodyTextIndent3"/>
        <w:spacing w:lineRule="exact" w:line="280"/>
        <w:ind w:start="0" w:end="0"/>
        <w:rPr/>
      </w:pPr>
      <w:r>
        <w:rPr/>
        <w:t xml:space="preserve">Additionally, the group testimony sponsors </w:t>
      </w:r>
      <w:r>
        <w:rPr>
          <w:u w:val="single"/>
        </w:rPr>
        <w:t>did not</w:t>
      </w:r>
      <w:r>
        <w:rPr/>
        <w:t xml:space="preserve"> attack the primary/secondary receipt point structure in any direct way.  In fact, parts of their testimony support the principles on which it is founded.</w:t>
      </w:r>
    </w:p>
    <w:p>
      <w:pPr>
        <w:pStyle w:val="BodyTextIndent3"/>
        <w:pBdr>
          <w:bottom w:val="single" w:sz="4" w:space="1" w:color="000000"/>
        </w:pBdr>
        <w:spacing w:lineRule="exact" w:line="280"/>
        <w:ind w:start="0" w:end="0"/>
        <w:rPr/>
      </w:pPr>
      <w:r>
        <w:rPr/>
      </w:r>
    </w:p>
    <w:p>
      <w:pPr>
        <w:pStyle w:val="BodyTextIndent3"/>
        <w:tabs>
          <w:tab w:val="clear" w:pos="720"/>
          <w:tab w:val="left" w:pos="2880" w:leader="none"/>
        </w:tabs>
        <w:spacing w:lineRule="exact" w:line="280"/>
        <w:ind w:start="0" w:end="0"/>
        <w:rPr>
          <w:b/>
          <w:u w:val="single"/>
        </w:rPr>
      </w:pPr>
      <w:r>
        <w:rPr>
          <w:b/>
          <w:u w:val="single"/>
        </w:rPr>
      </w:r>
    </w:p>
    <w:p>
      <w:pPr>
        <w:pStyle w:val="BodyTextIndent3"/>
        <w:tabs>
          <w:tab w:val="clear" w:pos="720"/>
          <w:tab w:val="left" w:pos="2880" w:leader="none"/>
        </w:tabs>
        <w:spacing w:lineRule="exact" w:line="280"/>
        <w:ind w:start="0" w:end="0"/>
        <w:rPr>
          <w:u w:val="single"/>
        </w:rPr>
      </w:pPr>
      <w:r>
        <w:rPr>
          <w:b/>
          <w:u w:val="single"/>
        </w:rPr>
        <w:t>Western Hub Properties</w:t>
      </w:r>
    </w:p>
    <w:p>
      <w:pPr>
        <w:pStyle w:val="BodyTextIndent3"/>
        <w:tabs>
          <w:tab w:val="clear" w:pos="720"/>
          <w:tab w:val="left" w:pos="2880" w:leader="none"/>
        </w:tabs>
        <w:spacing w:lineRule="exact" w:line="280"/>
        <w:ind w:start="0" w:end="0"/>
        <w:rPr>
          <w:u w:val="single"/>
        </w:rPr>
      </w:pPr>
      <w:r>
        <w:rPr>
          <w:u w:val="single"/>
        </w:rPr>
      </w:r>
    </w:p>
    <w:p>
      <w:pPr>
        <w:pStyle w:val="BodyTextIndent3"/>
        <w:tabs>
          <w:tab w:val="clear" w:pos="720"/>
          <w:tab w:val="left" w:pos="2160" w:leader="none"/>
          <w:tab w:val="left" w:pos="2880" w:leader="none"/>
        </w:tabs>
        <w:spacing w:lineRule="exact" w:line="280"/>
        <w:ind w:start="0" w:end="0"/>
        <w:rPr/>
      </w:pPr>
      <w:r>
        <w:rPr>
          <w:u w:val="single"/>
        </w:rPr>
        <w:t>Position</w:t>
      </w:r>
      <w:r>
        <w:rPr/>
        <w:t>:</w:t>
        <w:tab/>
        <w:t>Supports Comprehensive Settlement.</w:t>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pPr>
      <w:r>
        <w:rPr>
          <w:u w:val="single"/>
        </w:rPr>
        <w:t>Issues</w:t>
      </w:r>
      <w:r>
        <w:rPr/>
        <w:t>:</w:t>
        <w:tab/>
        <w:t>None; storage only perspective.</w:t>
      </w:r>
    </w:p>
    <w:p>
      <w:pPr>
        <w:pStyle w:val="BodyTextIndent3"/>
        <w:pBdr>
          <w:bottom w:val="single" w:sz="4" w:space="1" w:color="000000"/>
        </w:pBdr>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b/>
          <w:u w:val="single"/>
        </w:rPr>
      </w:pPr>
      <w:r>
        <w:rPr>
          <w:b/>
          <w:u w:val="single"/>
        </w:rPr>
        <w:t>PG&amp;E</w:t>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pPr>
      <w:r>
        <w:rPr>
          <w:u w:val="single"/>
        </w:rPr>
        <w:t>Position</w:t>
      </w:r>
      <w:r>
        <w:rPr/>
        <w:t>:</w:t>
        <w:tab/>
        <w:t>Conditionally supports Interim Settlement.</w:t>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hanging="2880" w:end="0"/>
        <w:rPr/>
      </w:pPr>
      <w:r>
        <w:rPr>
          <w:u w:val="single"/>
        </w:rPr>
        <w:t>Issues</w:t>
      </w:r>
      <w:r>
        <w:rPr/>
        <w:t>:</w:t>
        <w:tab/>
        <w:t>1.</w:t>
        <w:tab/>
        <w:t>PG&amp;E wants a redetermination of the Wheeler Ridge receipt point primary and secondary capacities.</w:t>
      </w:r>
    </w:p>
    <w:p>
      <w:pPr>
        <w:pStyle w:val="BodyTextIndent3"/>
        <w:tabs>
          <w:tab w:val="clear" w:pos="720"/>
          <w:tab w:val="left" w:pos="2160" w:leader="none"/>
          <w:tab w:val="left" w:pos="2880" w:leader="none"/>
        </w:tabs>
        <w:spacing w:lineRule="exact" w:line="280"/>
        <w:ind w:hanging="2880" w:end="0"/>
        <w:rPr>
          <w:u w:val="single"/>
        </w:rPr>
      </w:pPr>
      <w:r>
        <w:rPr>
          <w:u w:val="single"/>
        </w:rPr>
      </w:r>
    </w:p>
    <w:p>
      <w:pPr>
        <w:pStyle w:val="BodyTextIndent3"/>
        <w:numPr>
          <w:ilvl w:val="0"/>
          <w:numId w:val="4"/>
        </w:numPr>
        <w:tabs>
          <w:tab w:val="clear" w:pos="720"/>
          <w:tab w:val="left" w:pos="2160" w:leader="none"/>
        </w:tabs>
        <w:spacing w:lineRule="exact" w:line="280"/>
        <w:rPr/>
      </w:pPr>
      <w:r>
        <w:rPr/>
        <w:t>Further, PG&amp;E wants the “market to decide” firm primary receipt capacities rather than the predetermined amount in the Comprehensive Settlement.</w:t>
      </w:r>
    </w:p>
    <w:p>
      <w:pPr>
        <w:pStyle w:val="BodyTextIndent3"/>
        <w:tabs>
          <w:tab w:val="clear" w:pos="720"/>
          <w:tab w:val="left" w:pos="2160" w:leader="none"/>
          <w:tab w:val="left" w:pos="2880" w:leader="none"/>
        </w:tabs>
        <w:spacing w:lineRule="exact" w:line="280"/>
        <w:rPr/>
      </w:pPr>
      <w:r>
        <w:rPr/>
      </w:r>
    </w:p>
    <w:p>
      <w:pPr>
        <w:pStyle w:val="BodyTextIndent3"/>
        <w:tabs>
          <w:tab w:val="clear" w:pos="720"/>
          <w:tab w:val="left" w:pos="2160" w:leader="none"/>
        </w:tabs>
        <w:spacing w:lineRule="exact" w:line="280"/>
        <w:ind w:hanging="2160" w:start="2160" w:end="0"/>
        <w:rPr/>
      </w:pPr>
      <w:r>
        <w:rPr>
          <w:u w:val="single"/>
        </w:rPr>
        <w:t>TW Response</w:t>
      </w:r>
      <w:r>
        <w:rPr/>
        <w:t>:</w:t>
        <w:tab/>
        <w:t>Stay the course; we have been actively trying to contain this problem.  So far PG&amp;E has not focused on Hector Road (as they originally chose to) to illustrate their examples.  Our response should be consistent with our group’s position, even though personally I think PG&amp;E’s requested change could be accommodated without material harm to the settling parties.</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hanging="2160" w:start="2160" w:end="0"/>
        <w:rPr/>
      </w:pPr>
      <w:r>
        <w:rPr>
          <w:u w:val="single"/>
        </w:rPr>
        <w:t>Comment</w:t>
      </w:r>
      <w:r>
        <w:rPr/>
        <w:t>:</w:t>
        <w:tab/>
        <w:t>I don’t believe PG&amp;E is willing to sign on to the Comprehensive Settlement at this time, even if we and others grant their request.  Recommend patience and persistence with PG&amp;E.</w:t>
      </w:r>
    </w:p>
    <w:p>
      <w:pPr>
        <w:pStyle w:val="BodyTextIndent3"/>
        <w:pBdr>
          <w:bottom w:val="single" w:sz="4" w:space="1" w:color="000000"/>
        </w:pBdr>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start="0" w:end="0"/>
        <w:rPr>
          <w:u w:val="single"/>
        </w:rPr>
      </w:pPr>
      <w:r>
        <w:rPr>
          <w:b/>
          <w:u w:val="single"/>
        </w:rPr>
        <w:t>Powerspring</w:t>
      </w:r>
    </w:p>
    <w:p>
      <w:pPr>
        <w:pStyle w:val="BodyTextIndent3"/>
        <w:tabs>
          <w:tab w:val="clear" w:pos="720"/>
          <w:tab w:val="left" w:pos="2160" w:leader="none"/>
        </w:tabs>
        <w:spacing w:lineRule="exact" w:line="280"/>
        <w:ind w:start="0" w:end="0"/>
        <w:rPr>
          <w:u w:val="single"/>
        </w:rPr>
      </w:pPr>
      <w:r>
        <w:rPr>
          <w:u w:val="single"/>
        </w:rPr>
      </w:r>
    </w:p>
    <w:p>
      <w:pPr>
        <w:pStyle w:val="BodyTextIndent3"/>
        <w:tabs>
          <w:tab w:val="clear" w:pos="720"/>
          <w:tab w:val="left" w:pos="2160" w:leader="none"/>
        </w:tabs>
        <w:spacing w:lineRule="exact" w:line="280"/>
        <w:ind w:hanging="2160" w:start="2160" w:end="0"/>
        <w:rPr/>
      </w:pPr>
      <w:r>
        <w:rPr>
          <w:u w:val="single"/>
        </w:rPr>
        <w:t>Position</w:t>
      </w:r>
      <w:r>
        <w:rPr/>
        <w:t>:</w:t>
        <w:tab/>
        <w:t>Opposes retail meter “add-on” device settlement position for PG&amp;E and SoCal.</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hanging="2160" w:start="2160" w:end="0"/>
        <w:rPr/>
      </w:pPr>
      <w:r>
        <w:rPr>
          <w:u w:val="single"/>
        </w:rPr>
        <w:t>Issue</w:t>
      </w:r>
      <w:r>
        <w:rPr/>
        <w:t>:</w:t>
        <w:tab/>
        <w:t>South Lake Tahoe Utility not affected by either SoCal or PG&amp;E settlements.</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start="0" w:end="0"/>
        <w:rPr/>
      </w:pPr>
      <w:r>
        <w:rPr>
          <w:u w:val="single"/>
        </w:rPr>
        <w:t>TW Response</w:t>
      </w:r>
      <w:r>
        <w:rPr/>
        <w:t>:</w:t>
        <w:tab/>
        <w:t>None</w:t>
      </w:r>
    </w:p>
    <w:p>
      <w:pPr>
        <w:pStyle w:val="BodyTextIndent3"/>
        <w:pBdr>
          <w:bottom w:val="single" w:sz="4" w:space="1" w:color="000000"/>
        </w:pBdr>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u w:val="single"/>
        </w:rPr>
      </w:pPr>
      <w:r>
        <w:rPr>
          <w:b/>
          <w:u w:val="single"/>
        </w:rPr>
        <w:t>Indicated Electric Generators</w:t>
      </w:r>
    </w:p>
    <w:p>
      <w:pPr>
        <w:pStyle w:val="BodyTextIndent3"/>
        <w:tabs>
          <w:tab w:val="clear" w:pos="720"/>
          <w:tab w:val="left" w:pos="2160" w:leader="none"/>
          <w:tab w:val="left" w:pos="2880" w:leader="none"/>
        </w:tabs>
        <w:spacing w:lineRule="exact" w:line="280"/>
        <w:ind w:start="0" w:end="0"/>
        <w:rPr>
          <w:u w:val="single"/>
        </w:rPr>
      </w:pPr>
      <w:r>
        <w:rPr>
          <w:u w:val="single"/>
        </w:rPr>
      </w:r>
    </w:p>
    <w:p>
      <w:pPr>
        <w:pStyle w:val="BodyTextIndent3"/>
        <w:tabs>
          <w:tab w:val="clear" w:pos="720"/>
          <w:tab w:val="left" w:pos="2160" w:leader="none"/>
          <w:tab w:val="left" w:pos="2880" w:leader="none"/>
        </w:tabs>
        <w:spacing w:lineRule="exact" w:line="280"/>
        <w:ind w:start="0" w:end="0"/>
        <w:rPr/>
      </w:pPr>
      <w:r>
        <w:rPr>
          <w:u w:val="single"/>
        </w:rPr>
        <w:t>Position</w:t>
      </w:r>
      <w:r>
        <w:rPr/>
        <w:t>:</w:t>
        <w:tab/>
        <w:t>Supports Comprehensive Settlement.</w:t>
      </w:r>
    </w:p>
    <w:p>
      <w:pPr>
        <w:pStyle w:val="BodyTextIndent3"/>
        <w:tabs>
          <w:tab w:val="clear" w:pos="720"/>
          <w:tab w:val="left" w:pos="2160" w:leader="none"/>
          <w:tab w:val="left" w:pos="2880" w:leader="none"/>
        </w:tabs>
        <w:spacing w:lineRule="exact" w:line="280"/>
        <w:ind w:start="0" w:end="0"/>
        <w:rPr/>
      </w:pPr>
      <w:r>
        <w:rPr/>
      </w:r>
    </w:p>
    <w:p>
      <w:pPr>
        <w:pStyle w:val="BodyTextIndent3"/>
        <w:tabs>
          <w:tab w:val="clear" w:pos="720"/>
          <w:tab w:val="left" w:pos="2160" w:leader="none"/>
          <w:tab w:val="left" w:pos="2880" w:leader="none"/>
        </w:tabs>
        <w:spacing w:lineRule="exact" w:line="280"/>
        <w:ind w:start="0" w:end="0"/>
        <w:rPr/>
      </w:pPr>
      <w:r>
        <w:rPr>
          <w:u w:val="single"/>
        </w:rPr>
        <w:t>Issues</w:t>
      </w:r>
      <w:r>
        <w:rPr/>
        <w:t>:</w:t>
        <w:tab/>
        <w:t>1.</w:t>
        <w:tab/>
        <w:t>The settlement will reduce EG rates.</w:t>
      </w:r>
    </w:p>
    <w:p>
      <w:pPr>
        <w:pStyle w:val="BodyTextIndent3"/>
        <w:tabs>
          <w:tab w:val="clear" w:pos="720"/>
          <w:tab w:val="left" w:pos="2160" w:leader="none"/>
          <w:tab w:val="left" w:pos="288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Settles above market stranded cost issues with core interstate unbundling.</w:t>
      </w:r>
    </w:p>
    <w:p>
      <w:pPr>
        <w:pStyle w:val="BodyTextIndent3"/>
        <w:tabs>
          <w:tab w:val="clear" w:pos="720"/>
          <w:tab w:val="left" w:pos="2160" w:leader="none"/>
          <w:tab w:val="left" w:pos="2880" w:leader="none"/>
        </w:tabs>
        <w:spacing w:lineRule="exact" w:line="280"/>
        <w:rPr/>
      </w:pPr>
      <w:r>
        <w:rPr/>
      </w:r>
    </w:p>
    <w:p>
      <w:pPr>
        <w:pStyle w:val="BodyTextIndent3"/>
        <w:numPr>
          <w:ilvl w:val="0"/>
          <w:numId w:val="8"/>
        </w:numPr>
        <w:tabs>
          <w:tab w:val="clear" w:pos="720"/>
          <w:tab w:val="left" w:pos="2160" w:leader="none"/>
        </w:tabs>
        <w:spacing w:lineRule="exact" w:line="280"/>
        <w:rPr/>
      </w:pPr>
      <w:r>
        <w:rPr/>
        <w:t>Settlement provides stability for long-term decision by EG customers.</w:t>
      </w:r>
    </w:p>
    <w:p>
      <w:pPr>
        <w:pStyle w:val="BodyTextIndent3"/>
        <w:tabs>
          <w:tab w:val="clear" w:pos="720"/>
          <w:tab w:val="left" w:pos="216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Gas on gas competition at the Citygate market will benefit EG customers.</w:t>
      </w:r>
    </w:p>
    <w:p>
      <w:pPr>
        <w:pStyle w:val="BodyTextIndent3"/>
        <w:tabs>
          <w:tab w:val="clear" w:pos="720"/>
          <w:tab w:val="left" w:pos="216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New service options will allow EG customers to reduce cost.</w:t>
      </w:r>
    </w:p>
    <w:p>
      <w:pPr>
        <w:pStyle w:val="BodyTextIndent3"/>
        <w:tabs>
          <w:tab w:val="clear" w:pos="720"/>
          <w:tab w:val="left" w:pos="216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Settlement address immediate operational problems on SoCal; windowing and Hector Road.</w:t>
      </w:r>
    </w:p>
    <w:p>
      <w:pPr>
        <w:pStyle w:val="BodyTextIndent3"/>
        <w:tabs>
          <w:tab w:val="clear" w:pos="720"/>
          <w:tab w:val="left" w:pos="216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The variety of rate and service options with varying demand charge obligations provide EG customer with all the tools to effectively manage their load factors.</w:t>
      </w:r>
    </w:p>
    <w:p>
      <w:pPr>
        <w:pStyle w:val="BodyTextIndent3"/>
        <w:tabs>
          <w:tab w:val="clear" w:pos="720"/>
          <w:tab w:val="left" w:pos="2160" w:leader="none"/>
        </w:tabs>
        <w:spacing w:lineRule="exact" w:line="280"/>
        <w:ind w:start="0" w:end="0"/>
        <w:rPr/>
      </w:pPr>
      <w:r>
        <w:rPr/>
      </w:r>
    </w:p>
    <w:p>
      <w:pPr>
        <w:pStyle w:val="BodyTextIndent3"/>
        <w:numPr>
          <w:ilvl w:val="0"/>
          <w:numId w:val="8"/>
        </w:numPr>
        <w:tabs>
          <w:tab w:val="clear" w:pos="720"/>
          <w:tab w:val="left" w:pos="2160" w:leader="none"/>
        </w:tabs>
        <w:spacing w:lineRule="exact" w:line="280"/>
        <w:rPr/>
      </w:pPr>
      <w:r>
        <w:rPr/>
        <w:t>SoCal at risk for transmission assets.</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hanging="2160" w:start="2160" w:end="0"/>
        <w:rPr/>
      </w:pPr>
      <w:r>
        <w:rPr>
          <w:u w:val="single"/>
        </w:rPr>
        <w:t>TW Response</w:t>
      </w:r>
      <w:r>
        <w:rPr/>
        <w:t>:</w:t>
        <w:tab/>
        <w:t>None required; Mr. Beach probably is the right antidote to Norm’s EG customer complaints.  TW’s interests are supported by his testimony.</w:t>
      </w:r>
    </w:p>
    <w:p>
      <w:pPr>
        <w:pStyle w:val="BodyTextIndent3"/>
        <w:tabs>
          <w:tab w:val="clear" w:pos="720"/>
          <w:tab w:val="left" w:pos="2160" w:leader="none"/>
        </w:tabs>
        <w:spacing w:lineRule="exact" w:line="280"/>
        <w:ind w:start="0" w:end="0"/>
        <w:rPr/>
      </w:pPr>
      <w:r>
        <w:rPr/>
      </w:r>
    </w:p>
    <w:p>
      <w:pPr>
        <w:pStyle w:val="BodyTextIndent3"/>
        <w:tabs>
          <w:tab w:val="clear" w:pos="720"/>
          <w:tab w:val="left" w:pos="2160" w:leader="none"/>
        </w:tabs>
        <w:spacing w:lineRule="exact" w:line="280"/>
        <w:ind w:start="0" w:end="0"/>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1"/>
      <w:numFmt w:val="decimal"/>
      <w:lvlText w:val="%1."/>
      <w:lvlJc w:val="start"/>
      <w:pPr>
        <w:tabs>
          <w:tab w:val="num" w:pos="2880"/>
        </w:tabs>
        <w:ind w:start="2880" w:hanging="720"/>
      </w:pPr>
      <w:rPr/>
    </w:lvl>
  </w:abstractNum>
  <w:abstractNum w:abstractNumId="4">
    <w:lvl w:ilvl="0">
      <w:start w:val="2"/>
      <w:numFmt w:val="decimal"/>
      <w:lvlText w:val="%1."/>
      <w:lvlJc w:val="start"/>
      <w:pPr>
        <w:tabs>
          <w:tab w:val="num" w:pos="2880"/>
        </w:tabs>
        <w:ind w:start="2880" w:hanging="720"/>
      </w:pPr>
      <w:rPr/>
    </w:lvl>
  </w:abstractNum>
  <w:abstractNum w:abstractNumId="5">
    <w:lvl w:ilvl="0">
      <w:start w:val="1"/>
      <w:numFmt w:val="decimal"/>
      <w:lvlText w:val="%1."/>
      <w:lvlJc w:val="start"/>
      <w:pPr>
        <w:tabs>
          <w:tab w:val="num" w:pos="2880"/>
        </w:tabs>
        <w:ind w:start="2880" w:hanging="720"/>
      </w:pPr>
      <w:rPr/>
    </w:lvl>
  </w:abstractNum>
  <w:abstractNum w:abstractNumId="6">
    <w:lvl w:ilvl="0">
      <w:start w:val="1"/>
      <w:numFmt w:val="lowerLetter"/>
      <w:lvlText w:val="(%1)"/>
      <w:lvlJc w:val="start"/>
      <w:pPr>
        <w:tabs>
          <w:tab w:val="num" w:pos="3600"/>
        </w:tabs>
        <w:ind w:start="360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decimal"/>
      <w:lvlText w:val="%1."/>
      <w:lvlJc w:val="start"/>
      <w:pPr>
        <w:tabs>
          <w:tab w:val="num" w:pos="2880"/>
        </w:tabs>
        <w:ind w:start="2880" w:hanging="720"/>
      </w:pPr>
      <w:rPr/>
    </w:lvl>
  </w:abstractNum>
  <w:abstractNum w:abstractNumId="9">
    <w:lvl w:ilvl="0">
      <w:start w:val="2"/>
      <w:numFmt w:val="decimal"/>
      <w:lvlText w:val="%1."/>
      <w:lvlJc w:val="start"/>
      <w:pPr>
        <w:tabs>
          <w:tab w:val="num" w:pos="2880"/>
        </w:tabs>
        <w:ind w:start="2880" w:hanging="720"/>
      </w:pPr>
      <w:rPr/>
    </w:lvl>
  </w:abstractNum>
  <w:abstractNum w:abstractNumId="10">
    <w:lvl w:ilvl="0">
      <w:start w:val="1"/>
      <w:numFmt w:val="lowerLetter"/>
      <w:lvlText w:val="(%1)"/>
      <w:lvlJc w:val="start"/>
      <w:pPr>
        <w:tabs>
          <w:tab w:val="num" w:pos="3240"/>
        </w:tabs>
        <w:ind w:start="3240" w:hanging="360"/>
      </w:pPr>
      <w:rPr/>
    </w:lvl>
  </w:abstractNum>
  <w:abstractNum w:abstractNumId="11">
    <w:lvl w:ilvl="0">
      <w:start w:val="2"/>
      <w:numFmt w:val="lowerLetter"/>
      <w:lvlText w:val="(%1)"/>
      <w:lvlJc w:val="start"/>
      <w:pPr>
        <w:tabs>
          <w:tab w:val="num" w:pos="3240"/>
        </w:tabs>
        <w:ind w:star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en-US"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ind w:hanging="2160" w:start="2160" w:end="0"/>
      <w:outlineLvl w:val="1"/>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lang w:eastAsia="en-US"/>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720" w:start="2880" w:end="0"/>
    </w:pPr>
    <w:rPr/>
  </w:style>
  <w:style w:type="paragraph" w:styleId="BodyTextIndent3">
    <w:name w:val="Body Text Indent 3"/>
    <w:basedOn w:val="Normal"/>
    <w:qFormat/>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2000-05-08T16:20:00Z</dcterms:created>
  <dc:creator>Valued Gateway 2000 Customer</dc:creator>
  <dc:description/>
  <dc:language>en-CA</dc:language>
  <cp:lastModifiedBy>Valued Gateway 2000 Customer</cp:lastModifiedBy>
  <cp:lastPrinted>2000-05-09T09:35:00Z</cp:lastPrinted>
  <dcterms:modified xsi:type="dcterms:W3CDTF">2000-05-09T14:06:00Z</dcterms:modified>
  <cp:revision>3</cp:revision>
  <dc:subject/>
  <dc:title>Kern</dc:title>
</cp:coreProperties>
</file>