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pPr>
            <w:r>
              <w:rPr/>
              <w:t>Order Instituting Investigation into the adequacy of the Southern California Gas Company's and San Diego Gas &amp; Electric Company's (SDG&amp;E) gas transmission systems to serve the present and future gas requirements of SDG&amp;E's core and noncore customers.</w:t>
            </w:r>
          </w:p>
          <w:p>
            <w:pPr>
              <w:pStyle w:val="Normal"/>
              <w:rPr/>
            </w:pPr>
            <w:r>
              <w:rPr/>
            </w:r>
          </w:p>
        </w:tc>
        <w:tc>
          <w:tcPr>
            <w:tcW w:w="3384" w:type="dxa"/>
            <w:tcBorders/>
          </w:tcPr>
          <w:p>
            <w:pPr>
              <w:pStyle w:val="Normal"/>
              <w:tabs>
                <w:tab w:val="clear" w:pos="720"/>
                <w:tab w:val="left" w:pos="1872" w:leader="none"/>
              </w:tabs>
              <w:jc w:val="center"/>
              <w:rPr/>
            </w:pPr>
            <w:r>
              <w:rPr/>
              <w:t>Investigation 00-11-002</w:t>
            </w:r>
          </w:p>
          <w:p>
            <w:pPr>
              <w:pStyle w:val="Normal"/>
              <w:tabs>
                <w:tab w:val="clear" w:pos="720"/>
                <w:tab w:val="left" w:pos="1872" w:leader="none"/>
              </w:tabs>
              <w:jc w:val="center"/>
              <w:rPr/>
            </w:pPr>
            <w:r>
              <w:rPr/>
              <w:t>(Filed November 2, 2000)</w:t>
            </w:r>
          </w:p>
          <w:p>
            <w:pPr>
              <w:pStyle w:val="Normal"/>
              <w:tabs>
                <w:tab w:val="clear" w:pos="720"/>
                <w:tab w:val="left" w:pos="1872" w:leader="none"/>
              </w:tabs>
              <w:rPr/>
            </w:pPr>
            <w:r>
              <w:rPr/>
            </w:r>
          </w:p>
        </w:tc>
      </w:tr>
    </w:tbl>
    <w:p>
      <w:pPr>
        <w:pStyle w:val="Normal"/>
        <w:rPr/>
      </w:pPr>
      <w:r>
        <w:rPr/>
      </w:r>
    </w:p>
    <w:p>
      <w:pPr>
        <w:pStyle w:val="Normal"/>
        <w:spacing w:before="1200" w:after="1200"/>
        <w:ind w:start="1080" w:end="1080"/>
        <w:jc w:val="center"/>
        <w:rPr>
          <w:b/>
          <w:caps/>
        </w:rPr>
      </w:pPr>
      <w:r>
        <w:rPr>
          <w:b/>
          <w:caps/>
        </w:rPr>
        <w:t>TESTIMONY OF STEVEN M. HARRIS</w:t>
      </w:r>
    </w:p>
    <w:p>
      <w:pPr>
        <w:pStyle w:val="Normal"/>
        <w:spacing w:before="0" w:after="2697"/>
        <w:rPr>
          <w:b/>
          <w:caps/>
        </w:rPr>
      </w:pPr>
      <w:r>
        <w:rPr>
          <w:b/>
          <w:caps/>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tc>
        <w:tc>
          <w:tcPr>
            <w:tcW w:w="5040" w:type="dxa"/>
            <w:tcBorders/>
            <w:vAlign w:val="bottom"/>
          </w:tcPr>
          <w:p>
            <w:pPr>
              <w:pStyle w:val="Normal"/>
              <w:snapToGrid w:val="false"/>
              <w:spacing w:before="240" w:after="0"/>
              <w:rPr/>
            </w:pPr>
            <w:r>
              <w:rPr/>
            </w:r>
          </w:p>
        </w:tc>
      </w:tr>
    </w:tbl>
    <w:p>
      <w:pPr>
        <w:sectPr>
          <w:headerReference w:type="default" r:id="rId2"/>
          <w:headerReference w:type="first" r:id="rId3"/>
          <w:type w:val="nextPage"/>
          <w:pgSz w:w="12240" w:h="15840"/>
          <w:pgMar w:left="1440" w:right="1440" w:gutter="0" w:header="432" w:top="1440" w:footer="0" w:bottom="1440"/>
          <w:pgNumType w:fmt="decimal"/>
          <w:formProt w:val="false"/>
          <w:titlePg/>
          <w:textDirection w:val="lrTb"/>
          <w:docGrid w:type="default" w:linePitch="360" w:charSpace="0"/>
        </w:sectPr>
      </w:pPr>
    </w:p>
    <w:p>
      <w:pPr>
        <w:pStyle w:val="Normal"/>
        <w:rPr/>
      </w:pPr>
      <w:r>
        <w:rPr/>
      </w:r>
    </w:p>
    <w:p>
      <w:pPr>
        <w:pStyle w:val="Normal"/>
        <w:spacing w:before="480" w:after="480"/>
        <w:ind w:start="1080" w:end="1080"/>
        <w:jc w:val="center"/>
        <w:rPr>
          <w:b/>
          <w:caps/>
        </w:rPr>
      </w:pPr>
      <w:r>
        <w:rPr>
          <w:b/>
          <w:caps/>
        </w:rPr>
        <w:t>TESTIMONY OF STEVEN M. HARRIS</w:t>
      </w:r>
    </w:p>
    <w:p>
      <w:pPr>
        <w:pStyle w:val="Normal"/>
        <w:rPr>
          <w:b/>
          <w:caps/>
        </w:rPr>
      </w:pPr>
      <w:r>
        <w:rPr>
          <w:b/>
          <w:caps/>
        </w:rPr>
      </w:r>
    </w:p>
    <w:p>
      <w:pPr>
        <w:pStyle w:val="BodyText"/>
        <w:keepNext w:val="true"/>
        <w:ind w:hanging="0" w:end="0"/>
        <w:rPr/>
      </w:pPr>
      <w:r>
        <w:rPr>
          <w:b/>
        </w:rPr>
        <w:t>Q.</w:t>
      </w:r>
      <w:r>
        <w:rPr/>
        <w:tab/>
        <w:t>What is your name and business address?</w:t>
      </w:r>
    </w:p>
    <w:p>
      <w:pPr>
        <w:pStyle w:val="BodyText"/>
        <w:keepNext w:val="true"/>
        <w:ind w:hanging="720" w:start="720" w:end="0"/>
        <w:rPr/>
      </w:pPr>
      <w:r>
        <w:rPr>
          <w:b/>
        </w:rPr>
        <w:t>A.</w:t>
      </w:r>
      <w:r>
        <w:rPr/>
        <w:tab/>
        <w:t>My name is Steven M. Harris and my business address is 1400 Smith Street, Houston, Texas.</w:t>
      </w:r>
    </w:p>
    <w:p>
      <w:pPr>
        <w:pStyle w:val="BodyText"/>
        <w:keepNext w:val="true"/>
        <w:ind w:hanging="720" w:start="720" w:end="0"/>
        <w:rPr/>
      </w:pPr>
      <w:r>
        <w:rPr>
          <w:b/>
        </w:rPr>
        <w:t>Q.</w:t>
      </w:r>
      <w:r>
        <w:rPr/>
        <w:tab/>
        <w:t>What is your occupation?</w:t>
      </w:r>
    </w:p>
    <w:p>
      <w:pPr>
        <w:pStyle w:val="BodyText"/>
        <w:keepNext w:val="true"/>
        <w:ind w:hanging="720" w:start="720" w:end="0"/>
        <w:rPr/>
      </w:pPr>
      <w:r>
        <w:rPr>
          <w:b/>
        </w:rPr>
        <w:t>A.</w:t>
      </w:r>
      <w:r>
        <w:rPr/>
        <w:tab/>
        <w:t>I am Vice President of the Transwestern Commercial Group of Enron Transportation and Storage.</w:t>
      </w:r>
    </w:p>
    <w:p>
      <w:pPr>
        <w:pStyle w:val="BodyText"/>
        <w:keepNext w:val="true"/>
        <w:ind w:hanging="720" w:start="720" w:end="0"/>
        <w:rPr/>
      </w:pPr>
      <w:r>
        <w:rPr>
          <w:b/>
        </w:rPr>
        <w:t>Q.</w:t>
      </w:r>
      <w:r>
        <w:rPr/>
        <w:tab/>
        <w:t>Please describe your educational background and your occupational experiences related to your testimony in this proceeding.</w:t>
      </w:r>
    </w:p>
    <w:p>
      <w:pPr>
        <w:pStyle w:val="BodyText"/>
        <w:keepNext w:val="true"/>
        <w:ind w:hanging="720" w:start="720" w:end="0"/>
        <w:rPr/>
      </w:pPr>
      <w:r>
        <w:rPr>
          <w:b/>
        </w:rPr>
        <w:t>A.</w:t>
      </w:r>
      <w:r>
        <w:rPr/>
        <w:tab/>
        <w:t xml:space="preserve">I received both a Bachelor’s degree in finance and a Master’s degree in business from Texas Tech University.  My professional experience includes four years at El Paso Natural Gas prior to joining Enron in 1988.  My responsibilities included positions in Gas Settlement, Marketing and State Regulatory Affairs.  At Enron, I initially served as Director of State Regulatory Affairs for Transwestern Pipeline in San Francisco, California until May 1992.  I then served as Director of State Regulatory Affairs and Marketing Services for Enron Gas Services in Houston, Texas.  In December of 1992, I was asked to lead the long-term marketing efforts of Transwestern Pipeline as Director of Long Term Marketing.  In May of 1996, Northern Natural Gas and Transwestern Pipeline Companies were consolidated to form Enron Transportation and Storage at which time I was named Regional Vice President of Marketing for the Western Region of both Companies.  In June of 1999, I was named Vice President of the Transwestern Commercial Group.  In this capacity, I have overall responsibility for earnings, marketing strategy and asset enhancement for the Transwestern Pipeline portion of Enron Transportation and Storage. </w:t>
      </w:r>
    </w:p>
    <w:p>
      <w:pPr>
        <w:pStyle w:val="BodyText"/>
        <w:keepNext w:val="true"/>
        <w:ind w:hanging="720" w:start="720" w:end="0"/>
        <w:rPr/>
      </w:pPr>
      <w:r>
        <w:rPr>
          <w:b/>
        </w:rPr>
        <w:t>Q.</w:t>
      </w:r>
      <w:r>
        <w:rPr/>
        <w:tab/>
        <w:t>Have you testified before the California Public Utilities Commission in other proceedings?</w:t>
      </w:r>
    </w:p>
    <w:p>
      <w:pPr>
        <w:pStyle w:val="BodyText"/>
        <w:keepNext w:val="true"/>
        <w:ind w:hanging="720" w:start="720" w:end="0"/>
        <w:rPr/>
      </w:pPr>
      <w:r>
        <w:rPr>
          <w:b/>
        </w:rPr>
        <w:t>A.</w:t>
      </w:r>
      <w:r>
        <w:rPr/>
        <w:tab/>
        <w:t>Yes, on many occasions.</w:t>
      </w:r>
    </w:p>
    <w:p>
      <w:pPr>
        <w:pStyle w:val="BodyText"/>
        <w:keepNext w:val="true"/>
        <w:ind w:hanging="720" w:start="720" w:end="0"/>
        <w:rPr/>
      </w:pPr>
      <w:r>
        <w:rPr>
          <w:b/>
        </w:rPr>
        <w:t>Q.</w:t>
      </w:r>
      <w:r>
        <w:rPr/>
        <w:tab/>
        <w:t>What is the purpose of your testimony in this proceeding?</w:t>
      </w:r>
    </w:p>
    <w:p>
      <w:pPr>
        <w:pStyle w:val="BodyText"/>
        <w:keepNext w:val="true"/>
        <w:ind w:hanging="720" w:start="720" w:end="0"/>
        <w:rPr/>
      </w:pPr>
      <w:r>
        <w:rPr>
          <w:b/>
        </w:rPr>
        <w:t>A.</w:t>
      </w:r>
      <w:r>
        <w:rPr/>
        <w:tab/>
        <w:t>The purpose of my testimony is to support Southern California Gas Company’s (“SoCalGas)” proposal to add receipt point capacity at specific locations on the SoCalGas system and its alternative proposal for the allocation of firm receipt point capacity at the California border, and to urge the Commission to adopt the natural gas regulatory reform measures outlined in the Comprehensive Settlement in I.99-07-003.</w:t>
      </w:r>
    </w:p>
    <w:p>
      <w:pPr>
        <w:pStyle w:val="BodyText"/>
        <w:keepNext w:val="true"/>
        <w:ind w:hanging="720" w:start="720" w:end="0"/>
        <w:rPr/>
      </w:pPr>
      <w:r>
        <w:rPr>
          <w:b/>
        </w:rPr>
        <w:t>Q.</w:t>
      </w:r>
      <w:r>
        <w:rPr/>
        <w:tab/>
        <w:t xml:space="preserve">Do you adopt the following memorandum as your true and sworn testimony in this proceeding? </w:t>
      </w:r>
    </w:p>
    <w:p>
      <w:pPr>
        <w:pStyle w:val="BodyText"/>
        <w:keepNext w:val="true"/>
        <w:ind w:hanging="0" w:end="0"/>
        <w:rPr/>
      </w:pPr>
      <w:r>
        <w:rPr>
          <w:b/>
        </w:rPr>
        <w:t>A.</w:t>
      </w:r>
      <w:r>
        <w:rPr/>
        <w:tab/>
        <w:t>Yes, I do.</w:t>
      </w:r>
    </w:p>
    <w:p>
      <w:pPr>
        <w:pStyle w:val="BodyText"/>
        <w:keepNext w:val="true"/>
        <w:ind w:hanging="0" w:end="0"/>
        <w:rPr/>
      </w:pPr>
      <w:r>
        <w:rPr>
          <w:b/>
        </w:rPr>
        <w:t>Q.</w:t>
      </w:r>
      <w:r>
        <w:rPr/>
        <w:tab/>
        <w:t>Please proceed with your testimony.</w:t>
      </w:r>
    </w:p>
    <w:p>
      <w:pPr>
        <w:pStyle w:val="Normal"/>
        <w:spacing w:lineRule="auto" w:line="480"/>
        <w:ind w:hanging="720" w:start="720" w:end="0"/>
        <w:rPr/>
      </w:pPr>
      <w:r>
        <w:rPr>
          <w:b/>
        </w:rPr>
        <w:t>A.</w:t>
      </w:r>
      <w:r>
        <w:rPr/>
        <w:tab/>
        <w:t xml:space="preserve">In order to meet the growing demand for natural gas supplies in California, particularly in the area of supplying new electric generation projects, Transwestern has pending before the Federal Energy Regulatory Commission, in Docket No. CP01-115-000, an application requesting approval for the abandonment, construction and operation of facilities necessary to create 150,000 Mcf per day of incremental mainline capacity to the California border (“Red Rock Expansion”).  Because the Red Rock Expansion involves the addition of compression only and not new pipeline construction, this expansion will offer accelerated relief to Californians with an anticipated in-service date of June 1, 2002.  In his Additional Supplemental Direct Testimony in this proceeding on behalf of SoCalGas, Mr. Latimer Lorenz outlined SoCalGas’s alternative proposal for allocation of existing and incremental receipt point capacity among upstream parties.  Mr. Lorenz’s proposal also contemplates the effects of the additional receipt capacity of SoCalGas’s proposed system expansion.  Transwestern notes that SoCalGas’s alternative allocation proposal spreads SoCalGas’s proposed expanded receipt point capacity among all interested upstream parties based on their traditional delivery patterns.  Transwestern believes that this alternative allocation proposal will help Californians realize the economic benefits of long-term planning of upstream supply and transportation arrangements.  Specifically, the allocation to Transwestern of an incremental 50,000 Mcf/d at North Needles in the SoCalGas proposal, as reflected in Table III of Mr. Lorenz’s testimony, offers the certainty of intrastate take away capacity needed to realize the full benefits of the Red Rock Expansion capacity.  Of course, in no event should any proposed allocation of existing or expansion capacity restrict or negatively impact current shipper transportation rights or obligations.  </w:t>
      </w:r>
    </w:p>
    <w:p>
      <w:pPr>
        <w:pStyle w:val="Normal"/>
        <w:spacing w:lineRule="auto" w:line="480"/>
        <w:ind w:start="720" w:end="0"/>
        <w:rPr/>
      </w:pPr>
      <w:r>
        <w:rPr/>
        <w:t xml:space="preserve">However, capacity additions alone, whether on the upstream interstate pipelines or on the SoCalGas system, may not necessarily provide consumers with the expected benefits unless there is a rational, orderly method to allocate receipt point capacity into the SoCalGas system in the long term.  Therefore, Transwestern urges the Commission to approve the Comprehensive Settlement Agreement ("CSA") filed by the majority of stakeholders in the Commission’s own investigation of natural gas regulatory reform in I.99-07-003.  Transwestern agrees with Mr. Lorenz that the CSA “provides a superior, customer based allocation of firm receipt point capacities”.   Capacity additions to the interstate system as well as to the SoCalGas system, without a concomitant adoption of the clear guidelines for allocation of receipt point capacity as currently set forth in the CSA, could result in the sort of over nomination and scheduling chaos experienced by natural gas shippers into SoCalGas, particularly at Topock, over the past several years.      </w:t>
      </w:r>
    </w:p>
    <w:p>
      <w:pPr>
        <w:pStyle w:val="Normal"/>
        <w:spacing w:lineRule="auto" w:line="480"/>
        <w:ind w:start="720" w:end="0"/>
        <w:rPr/>
      </w:pPr>
      <w:r>
        <w:rPr/>
        <w:t>In conclusion, Transwestern supports the SoCalGas filing for capacity additions and the alternative proposal for receipt point allocation, and asks the Commission to move to immediately adopt the SoCalGas proposal.  In the long run, Transwestern urges the Commission to adopt the CSA filed in I.99-07-003 as a means to ensure for Californians the long-term viability of both its upstream and downstream natural gas supply and transportation.</w:t>
      </w:r>
    </w:p>
    <w:p>
      <w:pPr>
        <w:pStyle w:val="Normal"/>
        <w:spacing w:lineRule="auto" w:line="480"/>
        <w:rPr/>
      </w:pPr>
      <w:r>
        <w:rPr>
          <w:b/>
        </w:rPr>
        <w:t>Q.</w:t>
      </w:r>
      <w:r>
        <w:rPr/>
        <w:tab/>
        <w:t>Does this conclude your testimony?</w:t>
      </w:r>
    </w:p>
    <w:p>
      <w:pPr>
        <w:pStyle w:val="Normal"/>
        <w:spacing w:lineRule="auto" w:line="480"/>
        <w:rPr/>
      </w:pPr>
      <w:r>
        <w:rPr>
          <w:b/>
        </w:rPr>
        <w:t>A.</w:t>
      </w:r>
      <w:r>
        <w:rPr/>
        <w:tab/>
        <w:t>Yes.</w:t>
      </w:r>
    </w:p>
    <w:p>
      <w:pPr>
        <w:pStyle w:val="Normal"/>
        <w:rPr/>
      </w:pPr>
      <w:r>
        <w:rPr/>
      </w:r>
    </w:p>
    <w:p>
      <w:pPr>
        <w:pStyle w:val="Normal"/>
        <w:spacing w:lineRule="exact" w:line="200" w:before="240" w:after="0"/>
        <w:rPr/>
      </w:pPr>
      <w:r>
        <w:rPr>
          <w:rStyle w:val="zzmpTrailerItem"/>
        </w:rPr>
        <w:t>2704/149/X25394-1</w:t>
      </w:r>
      <w:r>
        <w:rPr/>
        <w:t xml:space="preserve"> </w:t>
      </w:r>
    </w:p>
    <w:sectPr>
      <w:headerReference w:type="default" r:id="rId4"/>
      <w:headerReference w:type="first" r:id="rId5"/>
      <w:footerReference w:type="default" r:id="rId6"/>
      <w:footerReference w:type="first" r:id="rId7"/>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opyTitle" w:val="False"/>
    <w:docVar w:name="chkIncludeCoverPage" w:val="True"/>
    <w:docVar w:name="chkIncludeFirmAddress" w:val="True"/>
    <w:docVar w:name="cmbAttyName" w:val="2046"/>
    <w:docVar w:name="cmbAttysFor" w:val="Respondent"/>
    <w:docVar w:name="cmbAuthorLists" w:val="-100"/>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0"/>
    <w:docVar w:name="cmbSetAuthorPref" w:val="2046"/>
    <w:docVar w:name="iTrailerType" w:val="1"/>
    <w:docVar w:name="lstAttyList" w:val="2046"/>
    <w:docVar w:name="lstCourts" w:val="Public Utilities Commission"/>
    <w:docVar w:name="lstSigType" w:val="PUC Signature"/>
    <w:docVar w:name="OtherCaptionItems" w:val="†"/>
    <w:docVar w:name="packedarray" w:val="Alexandra M. Ozols†2046"/>
    <w:docVar w:name="Restarted" w:val="True"/>
    <w:docVar w:name="tglUseFirmDefaults" w:val="False"/>
    <w:docVar w:name="txtAppealedFrom" w:val="San Francisco"/>
    <w:docVar w:name="txtAppealFrom" w:val="the Superior Court&#10;of California, City and County of"/>
    <w:docVar w:name="txtAttyName" w:val="Alexandra M. Ozols"/>
    <w:docVar w:name="txtCaseNo" w:val="2nd Civil No. "/>
    <w:docVar w:name="txtCAttysFor" w:val="Appellant"/>
    <w:docVar w:name="txtDateFiled" w:val="November 2, 2000"/>
    <w:docVar w:name="txtDocTitle" w:val="petition of transwestern pipeline company to intervene"/>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txtProceedingNo" w:val="Investigation 00-11-002"/>
    <w:docVar w:name="txtPUCCase" w:val="Order Instituting Investigation into the adequacy of the Southern California Gas Company's and San Diego Gas &amp; Electric Company's (SDG&amp;E) gas transmission systems to serve teh present and futiure gas requyirements of SDG&amp;E's core and noncore customers."/>
    <w:docVar w:name="zzmpFixed_MacPacVersion" w:val="97"/>
    <w:docVar w:name="zzmpFixed_PleadingPaperType" w:val="PPNone"/>
    <w:docVar w:name="zzmpFixedDOC_ID" w:val="2704/149/X2539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2001-06-15T14:02:00Z</dcterms:created>
  <dc:creator>AMO</dc:creator>
  <dc:description/>
  <dc:language>en-CA</dc:language>
  <cp:lastModifiedBy>AMO</cp:lastModifiedBy>
  <cp:lastPrinted>2001-06-15T09:29:00Z</cp:lastPrinted>
  <dcterms:modified xsi:type="dcterms:W3CDTF">2001-06-15T14:02:00Z</dcterms:modified>
  <cp:revision>2</cp:revision>
  <dc:subject/>
  <dc:title>Testimony of Steven M. Harris  (X25394.DOC;1)</dc:title>
</cp:coreProperties>
</file>