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522" w:type="dxa"/>
        <w:jc w:val="start"/>
        <w:tblInd w:w="0" w:type="dxa"/>
        <w:tblLayout w:type="fixed"/>
        <w:tblCellMar>
          <w:top w:w="0" w:type="dxa"/>
          <w:start w:w="108" w:type="dxa"/>
          <w:bottom w:w="0" w:type="dxa"/>
          <w:end w:w="108" w:type="dxa"/>
        </w:tblCellMar>
      </w:tblPr>
      <w:tblGrid>
        <w:gridCol w:w="8522"/>
      </w:tblGrid>
      <w:tr>
        <w:trPr/>
        <w:tc>
          <w:tcPr>
            <w:tcW w:w="8522" w:type="dxa"/>
            <w:tcBorders>
              <w:top w:val="single" w:sz="6" w:space="0" w:color="000000"/>
              <w:start w:val="single" w:sz="6" w:space="0" w:color="000000"/>
              <w:bottom w:val="single" w:sz="6" w:space="0" w:color="000000"/>
              <w:end w:val="single" w:sz="6" w:space="0" w:color="000000"/>
            </w:tcBorders>
          </w:tcPr>
          <w:p>
            <w:pPr>
              <w:pStyle w:val="Heading"/>
              <w:rPr>
                <w:sz w:val="18"/>
                <w:szCs w:val="18"/>
              </w:rPr>
            </w:pPr>
            <w:r>
              <w:rPr>
                <w:sz w:val="18"/>
                <w:szCs w:val="18"/>
              </w:rPr>
              <w:t>TERMS AND CONDITIONS OF BUSINESS</w:t>
            </w:r>
          </w:p>
          <w:p>
            <w:pPr>
              <w:pStyle w:val="Heading"/>
              <w:rPr>
                <w:sz w:val="18"/>
                <w:szCs w:val="18"/>
              </w:rPr>
            </w:pPr>
            <w:r>
              <w:rPr>
                <w:sz w:val="18"/>
                <w:szCs w:val="18"/>
              </w:rPr>
              <w:t xml:space="preserve">(“Terms”) between Alexander Mann Global Markets (“the Company”) and Enron Europe Ltd (“the Client”) </w:t>
            </w:r>
          </w:p>
        </w:tc>
      </w:tr>
    </w:tbl>
    <w:p>
      <w:pPr>
        <w:pStyle w:val="Normal"/>
        <w:jc w:val="center"/>
        <w:rPr>
          <w:b/>
          <w:bCs/>
          <w:sz w:val="18"/>
          <w:szCs w:val="18"/>
        </w:rPr>
      </w:pPr>
      <w:r>
        <w:rPr>
          <w:b/>
          <w:bCs/>
          <w:sz w:val="18"/>
          <w:szCs w:val="18"/>
        </w:rPr>
      </w:r>
    </w:p>
    <w:p>
      <w:pPr>
        <w:sectPr>
          <w:type w:val="nextPage"/>
          <w:pgSz w:w="11906" w:h="16838"/>
          <w:pgMar w:left="1800" w:right="1800" w:gutter="0" w:header="0" w:top="993" w:footer="0" w:bottom="1440"/>
          <w:pgNumType w:fmt="decimal"/>
          <w:formProt w:val="false"/>
          <w:textDirection w:val="lrTb"/>
        </w:sectPr>
      </w:pPr>
    </w:p>
    <w:p>
      <w:pPr>
        <w:pStyle w:val="Heading1"/>
        <w:numPr>
          <w:ilvl w:val="0"/>
          <w:numId w:val="2"/>
        </w:numPr>
        <w:tabs>
          <w:tab w:val="clear" w:pos="720"/>
          <w:tab w:val="left" w:pos="0" w:leader="none"/>
        </w:tabs>
        <w:ind w:hanging="720" w:start="720" w:end="0"/>
        <w:rPr/>
      </w:pPr>
      <w:r>
        <w:rPr/>
        <w:t xml:space="preserve">General Definition and Effective Date </w:t>
      </w:r>
    </w:p>
    <w:p>
      <w:pPr>
        <w:pStyle w:val="Normal"/>
        <w:numPr>
          <w:ilvl w:val="0"/>
          <w:numId w:val="0"/>
        </w:numPr>
        <w:ind w:hanging="0" w:start="0"/>
        <w:rPr/>
      </w:pPr>
      <w:r>
        <w:rPr/>
      </w:r>
    </w:p>
    <w:p>
      <w:pPr>
        <w:pStyle w:val="Normal"/>
        <w:numPr>
          <w:ilvl w:val="0"/>
          <w:numId w:val="0"/>
        </w:numPr>
        <w:ind w:hanging="0" w:start="0"/>
        <w:jc w:val="both"/>
        <w:rPr>
          <w:sz w:val="16"/>
          <w:szCs w:val="16"/>
        </w:rPr>
      </w:pPr>
      <w:r>
        <w:rPr>
          <w:sz w:val="16"/>
          <w:szCs w:val="16"/>
        </w:rPr>
        <w:t xml:space="preserve">These Terms and Conditions take effect from 5 June 2000 between the Company and the Client for introductions arranged for engagement in the United Kingdom and overseas. </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sz w:val="16"/>
          <w:szCs w:val="16"/>
        </w:rPr>
      </w:pPr>
      <w:r>
        <w:rPr>
          <w:sz w:val="16"/>
          <w:szCs w:val="16"/>
        </w:rPr>
        <w:t>These Terms supersede any other previous Terms of Business or any other agreed Terms between the Company and the Client.   No change to these Terms is accepted unless expressly agreed by the Company in writing.</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sz w:val="16"/>
          <w:szCs w:val="16"/>
        </w:rPr>
      </w:pPr>
      <w:r>
        <w:rPr>
          <w:sz w:val="16"/>
          <w:szCs w:val="16"/>
        </w:rPr>
        <w:t>These Terms shall be governed by and construed in accordance with the laws of England.</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sz w:val="16"/>
          <w:szCs w:val="16"/>
        </w:rPr>
      </w:pPr>
      <w:r>
        <w:rPr>
          <w:sz w:val="16"/>
          <w:szCs w:val="16"/>
        </w:rPr>
        <w:t>The Company and the Client submit to the exclusive jurisdiction of the English Courts as regards any claim, dispute or matter arising out of or relating to these Terms.</w:t>
      </w:r>
    </w:p>
    <w:p>
      <w:pPr>
        <w:pStyle w:val="Normal"/>
        <w:numPr>
          <w:ilvl w:val="0"/>
          <w:numId w:val="0"/>
        </w:numPr>
        <w:ind w:hanging="0" w:start="0"/>
        <w:jc w:val="both"/>
        <w:rPr>
          <w:sz w:val="16"/>
          <w:szCs w:val="16"/>
        </w:rPr>
      </w:pPr>
      <w:r>
        <w:rPr>
          <w:sz w:val="16"/>
          <w:szCs w:val="16"/>
        </w:rPr>
      </w:r>
    </w:p>
    <w:p>
      <w:pPr>
        <w:pStyle w:val="BodyText"/>
        <w:numPr>
          <w:ilvl w:val="0"/>
          <w:numId w:val="2"/>
        </w:numPr>
        <w:tabs>
          <w:tab w:val="clear" w:pos="720"/>
          <w:tab w:val="left" w:pos="0" w:leader="none"/>
        </w:tabs>
        <w:ind w:hanging="720" w:start="720" w:end="0"/>
        <w:rPr>
          <w:b/>
          <w:bCs/>
        </w:rPr>
      </w:pPr>
      <w:r>
        <w:rPr>
          <w:b/>
          <w:bCs/>
        </w:rPr>
        <w:t>Acceptance</w:t>
      </w:r>
    </w:p>
    <w:p>
      <w:pPr>
        <w:pStyle w:val="BodyText"/>
        <w:numPr>
          <w:ilvl w:val="0"/>
          <w:numId w:val="0"/>
        </w:numPr>
        <w:tabs>
          <w:tab w:val="clear" w:pos="720"/>
          <w:tab w:val="left" w:pos="284" w:leader="none"/>
        </w:tabs>
        <w:ind w:hanging="0" w:start="0"/>
        <w:rPr>
          <w:b/>
          <w:bCs/>
        </w:rPr>
      </w:pPr>
      <w:r>
        <w:rPr>
          <w:b/>
          <w:bCs/>
        </w:rPr>
      </w:r>
    </w:p>
    <w:p>
      <w:pPr>
        <w:pStyle w:val="BodyText"/>
        <w:numPr>
          <w:ilvl w:val="0"/>
          <w:numId w:val="0"/>
        </w:numPr>
        <w:tabs>
          <w:tab w:val="clear" w:pos="720"/>
          <w:tab w:val="left" w:pos="284" w:leader="none"/>
        </w:tabs>
        <w:ind w:hanging="0" w:start="0"/>
        <w:rPr/>
      </w:pPr>
      <w:r>
        <w:rPr/>
        <w:t>These Terms are deemed to be accepted by the Client when the Client instructs the Company on a recruitment exercise or grants an interview to a Candidate introduced by the Company.</w:t>
      </w:r>
    </w:p>
    <w:p>
      <w:pPr>
        <w:pStyle w:val="Normal"/>
        <w:numPr>
          <w:ilvl w:val="0"/>
          <w:numId w:val="0"/>
        </w:numPr>
        <w:ind w:hanging="0" w:start="0"/>
        <w:jc w:val="both"/>
        <w:rPr>
          <w:sz w:val="16"/>
          <w:szCs w:val="16"/>
        </w:rPr>
      </w:pPr>
      <w:r>
        <w:rPr>
          <w:sz w:val="16"/>
          <w:szCs w:val="16"/>
        </w:rPr>
      </w:r>
    </w:p>
    <w:p>
      <w:pPr>
        <w:pStyle w:val="Normal"/>
        <w:numPr>
          <w:ilvl w:val="0"/>
          <w:numId w:val="2"/>
        </w:numPr>
        <w:tabs>
          <w:tab w:val="clear" w:pos="720"/>
          <w:tab w:val="left" w:pos="0" w:leader="none"/>
        </w:tabs>
        <w:ind w:hanging="720" w:start="720" w:end="0"/>
        <w:jc w:val="both"/>
        <w:rPr>
          <w:b/>
          <w:bCs/>
          <w:sz w:val="16"/>
          <w:szCs w:val="16"/>
        </w:rPr>
      </w:pPr>
      <w:r>
        <w:rPr>
          <w:b/>
          <w:bCs/>
          <w:sz w:val="16"/>
          <w:szCs w:val="16"/>
        </w:rPr>
        <w:t>Definitions</w:t>
      </w:r>
    </w:p>
    <w:p>
      <w:pPr>
        <w:pStyle w:val="Normal"/>
        <w:numPr>
          <w:ilvl w:val="0"/>
          <w:numId w:val="0"/>
        </w:numPr>
        <w:tabs>
          <w:tab w:val="clear" w:pos="720"/>
          <w:tab w:val="left" w:pos="284" w:leader="none"/>
        </w:tabs>
        <w:ind w:hanging="0" w:start="0"/>
        <w:jc w:val="both"/>
        <w:rPr>
          <w:b/>
          <w:bCs/>
          <w:sz w:val="16"/>
          <w:szCs w:val="16"/>
        </w:rPr>
      </w:pPr>
      <w:r>
        <w:rPr>
          <w:b/>
          <w:bCs/>
          <w:sz w:val="16"/>
          <w:szCs w:val="16"/>
        </w:rPr>
      </w:r>
    </w:p>
    <w:p>
      <w:pPr>
        <w:pStyle w:val="BodyText"/>
        <w:numPr>
          <w:ilvl w:val="0"/>
          <w:numId w:val="0"/>
        </w:numPr>
        <w:tabs>
          <w:tab w:val="clear" w:pos="720"/>
          <w:tab w:val="left" w:pos="284" w:leader="none"/>
        </w:tabs>
        <w:ind w:hanging="0" w:start="0"/>
        <w:rPr/>
      </w:pPr>
      <w:r>
        <w:rPr/>
        <w:t>In these Terms, the following words and expressions shall have the following meanings:</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pPr>
      <w:r>
        <w:rPr>
          <w:b/>
          <w:bCs/>
          <w:sz w:val="16"/>
          <w:szCs w:val="16"/>
        </w:rPr>
        <w:t>Candidate</w:t>
      </w:r>
      <w:r>
        <w:rPr>
          <w:sz w:val="16"/>
          <w:szCs w:val="16"/>
        </w:rPr>
        <w:t>: a person introduced to the Client directly or indirectly by the Company;</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pPr>
      <w:r>
        <w:rPr>
          <w:b/>
          <w:bCs/>
          <w:sz w:val="16"/>
          <w:szCs w:val="16"/>
        </w:rPr>
        <w:t>Introduction</w:t>
      </w:r>
      <w:r>
        <w:rPr>
          <w:sz w:val="16"/>
          <w:szCs w:val="16"/>
        </w:rPr>
        <w:t>: the provision by the Company to the Client of any details whether written, via e-mail or oral of any Candidate.</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pPr>
      <w:r>
        <w:rPr>
          <w:b/>
          <w:bCs/>
          <w:sz w:val="16"/>
          <w:szCs w:val="16"/>
        </w:rPr>
        <w:t>Engagement</w:t>
      </w:r>
      <w:r>
        <w:rPr>
          <w:sz w:val="16"/>
          <w:szCs w:val="16"/>
        </w:rPr>
        <w:t>: the employment or re-employment of a Candidate by the Client or by any third party to whom the Client has referred the Candidate or the appointment of a Candidate by the Client or any such third party in a personal or corporate capacity as an agent, distributor, representative or franchisee on any case whether on a permanent, temporary or casual basis and “engage” and “engaged” shall be constructed accordingly;</w:t>
      </w:r>
    </w:p>
    <w:p>
      <w:pPr>
        <w:pStyle w:val="Normal"/>
        <w:numPr>
          <w:ilvl w:val="0"/>
          <w:numId w:val="0"/>
        </w:numPr>
        <w:ind w:hanging="0" w:start="0"/>
        <w:jc w:val="both"/>
        <w:rPr>
          <w:sz w:val="16"/>
          <w:szCs w:val="16"/>
        </w:rPr>
      </w:pPr>
      <w:r>
        <w:rPr>
          <w:sz w:val="16"/>
          <w:szCs w:val="16"/>
        </w:rPr>
      </w:r>
    </w:p>
    <w:p>
      <w:pPr>
        <w:pStyle w:val="BodyText"/>
        <w:numPr>
          <w:ilvl w:val="0"/>
          <w:numId w:val="0"/>
        </w:numPr>
        <w:ind w:hanging="0" w:start="0"/>
        <w:rPr/>
      </w:pPr>
      <w:r>
        <w:rPr>
          <w:b/>
          <w:bCs/>
        </w:rPr>
        <w:t>Date of Engagement</w:t>
      </w:r>
      <w:r>
        <w:rPr/>
        <w:t xml:space="preserve">: the date a Candidate commences employment with the Client or is engaged by the Client in any capacity. </w:t>
      </w:r>
    </w:p>
    <w:p>
      <w:pPr>
        <w:pStyle w:val="Normal"/>
        <w:numPr>
          <w:ilvl w:val="0"/>
          <w:numId w:val="0"/>
        </w:numPr>
        <w:ind w:hanging="0" w:start="0"/>
        <w:jc w:val="both"/>
        <w:rPr>
          <w:sz w:val="16"/>
          <w:szCs w:val="16"/>
        </w:rPr>
      </w:pPr>
      <w:r>
        <w:rPr>
          <w:sz w:val="16"/>
          <w:szCs w:val="16"/>
        </w:rPr>
      </w:r>
    </w:p>
    <w:p>
      <w:pPr>
        <w:pStyle w:val="Normal"/>
        <w:numPr>
          <w:ilvl w:val="0"/>
          <w:numId w:val="0"/>
        </w:numPr>
        <w:ind w:hanging="0" w:start="0"/>
        <w:jc w:val="both"/>
        <w:rPr/>
      </w:pPr>
      <w:r>
        <w:rPr>
          <w:b/>
          <w:bCs/>
          <w:sz w:val="16"/>
          <w:szCs w:val="16"/>
        </w:rPr>
        <w:t>Remuneration</w:t>
      </w:r>
      <w:r>
        <w:rPr>
          <w:sz w:val="16"/>
          <w:szCs w:val="16"/>
        </w:rPr>
        <w:t>: an amount equal to the full annual taxable emoluments of a Candidate including all salary, profit share, guaranteed bonus, car allowance, and other benefits plus 2/3 of any bonus which is indicated to the Candidate as likely to be payable but not guaranteed by the Client during the first year of the Candidate’s engagement by the Client;</w:t>
      </w:r>
    </w:p>
    <w:p>
      <w:pPr>
        <w:pStyle w:val="Heading1"/>
        <w:numPr>
          <w:ilvl w:val="0"/>
          <w:numId w:val="2"/>
        </w:numPr>
        <w:tabs>
          <w:tab w:val="clear" w:pos="720"/>
          <w:tab w:val="left" w:pos="0" w:leader="none"/>
        </w:tabs>
        <w:spacing w:before="240" w:after="0"/>
        <w:ind w:hanging="360" w:start="720" w:end="0"/>
        <w:rPr/>
      </w:pPr>
      <w:r>
        <w:rPr/>
        <w:t xml:space="preserve">Variation </w:t>
      </w:r>
    </w:p>
    <w:p>
      <w:pPr>
        <w:pStyle w:val="Normal"/>
        <w:rPr/>
      </w:pPr>
      <w:r>
        <w:rPr/>
      </w:r>
    </w:p>
    <w:p>
      <w:pPr>
        <w:pStyle w:val="BodyText"/>
        <w:rPr/>
      </w:pPr>
      <w:r>
        <w:rPr/>
        <w:t xml:space="preserve">No variation of these Terms is valid or shall be binding on the Company unless confirmed in writing by a Director of the Company.  Any such variation will be in the form of a letter specifying in full the terms of such variation, time scale and defined product area. </w:t>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Normal"/>
        <w:jc w:val="both"/>
        <w:rPr>
          <w:sz w:val="16"/>
          <w:szCs w:val="16"/>
        </w:rPr>
      </w:pPr>
      <w:r>
        <w:rPr>
          <w:sz w:val="16"/>
          <w:szCs w:val="16"/>
        </w:rPr>
      </w:r>
    </w:p>
    <w:p>
      <w:pPr>
        <w:pStyle w:val="Heading1"/>
        <w:ind w:hanging="426" w:start="426" w:end="0"/>
        <w:rPr/>
      </w:pPr>
      <w:r>
        <w:rPr/>
        <w:t xml:space="preserve">5.     </w:t>
        <w:tab/>
        <w:t xml:space="preserve">Payment </w:t>
      </w:r>
    </w:p>
    <w:p>
      <w:pPr>
        <w:pStyle w:val="Normal"/>
        <w:rPr/>
      </w:pPr>
      <w:r>
        <w:rPr/>
      </w:r>
    </w:p>
    <w:p>
      <w:pPr>
        <w:pStyle w:val="BodyText"/>
        <w:rPr/>
      </w:pPr>
      <w:r>
        <w:rPr/>
        <w:t xml:space="preserve">All fees and charges are payable within 14 days of the date of invoice and payment should be made to Alexander Mann Global Markets Limited.  The invoice date will be the date of engagement. If payment is not made within 14 days of the invoice date the Company shall be entitled to charge interest thereon from the date of the invoice until the date of payment calculated at 3% above base rate [of National Westminster Bank plc] prevailing at the date of invoice. </w:t>
      </w:r>
    </w:p>
    <w:p>
      <w:pPr>
        <w:pStyle w:val="Normal"/>
        <w:jc w:val="both"/>
        <w:rPr>
          <w:sz w:val="16"/>
          <w:szCs w:val="16"/>
        </w:rPr>
      </w:pPr>
      <w:r>
        <w:rPr>
          <w:sz w:val="16"/>
          <w:szCs w:val="16"/>
        </w:rPr>
      </w:r>
    </w:p>
    <w:p>
      <w:pPr>
        <w:pStyle w:val="Heading1"/>
        <w:ind w:hanging="426" w:start="426" w:end="0"/>
        <w:rPr/>
      </w:pPr>
      <w:r>
        <w:rPr/>
        <w:t xml:space="preserve">6.   </w:t>
        <w:tab/>
        <w:t>VAT</w:t>
      </w:r>
    </w:p>
    <w:p>
      <w:pPr>
        <w:pStyle w:val="Normal"/>
        <w:rPr/>
      </w:pPr>
      <w:r>
        <w:rPr/>
      </w:r>
    </w:p>
    <w:p>
      <w:pPr>
        <w:pStyle w:val="BodyText"/>
        <w:rPr/>
      </w:pPr>
      <w:r>
        <w:rPr/>
        <w:t>VAT is payable on the Company’s fees and is charged at the rate prevailing at the date of the invoice.</w:t>
      </w:r>
    </w:p>
    <w:p>
      <w:pPr>
        <w:pStyle w:val="Normal"/>
        <w:jc w:val="both"/>
        <w:rPr>
          <w:sz w:val="16"/>
          <w:szCs w:val="16"/>
        </w:rPr>
      </w:pPr>
      <w:r>
        <w:rPr>
          <w:sz w:val="16"/>
          <w:szCs w:val="16"/>
        </w:rPr>
      </w:r>
    </w:p>
    <w:p>
      <w:pPr>
        <w:pStyle w:val="Normal"/>
        <w:numPr>
          <w:ilvl w:val="0"/>
          <w:numId w:val="3"/>
        </w:numPr>
        <w:tabs>
          <w:tab w:val="clear" w:pos="720"/>
          <w:tab w:val="left" w:pos="0" w:leader="none"/>
          <w:tab w:val="left" w:pos="360" w:leader="none"/>
        </w:tabs>
        <w:ind w:hanging="360" w:start="360" w:end="0"/>
        <w:jc w:val="both"/>
        <w:rPr>
          <w:b/>
          <w:bCs/>
          <w:sz w:val="16"/>
          <w:szCs w:val="16"/>
        </w:rPr>
      </w:pPr>
      <w:r>
        <w:rPr>
          <w:b/>
          <w:bCs/>
          <w:sz w:val="16"/>
          <w:szCs w:val="16"/>
        </w:rPr>
        <w:t>Confidentiality</w:t>
      </w:r>
    </w:p>
    <w:p>
      <w:pPr>
        <w:pStyle w:val="Normal"/>
        <w:numPr>
          <w:ilvl w:val="0"/>
          <w:numId w:val="0"/>
        </w:numPr>
        <w:ind w:hanging="0" w:start="0"/>
        <w:jc w:val="both"/>
        <w:rPr>
          <w:b/>
          <w:bCs/>
          <w:sz w:val="16"/>
          <w:szCs w:val="16"/>
        </w:rPr>
      </w:pPr>
      <w:r>
        <w:rPr>
          <w:b/>
          <w:bCs/>
          <w:sz w:val="16"/>
          <w:szCs w:val="16"/>
        </w:rPr>
      </w:r>
    </w:p>
    <w:p>
      <w:pPr>
        <w:pStyle w:val="Normal"/>
        <w:numPr>
          <w:ilvl w:val="0"/>
          <w:numId w:val="0"/>
        </w:numPr>
        <w:ind w:hanging="0" w:start="0"/>
        <w:jc w:val="both"/>
        <w:rPr/>
      </w:pPr>
      <w:r>
        <w:rPr>
          <w:sz w:val="16"/>
          <w:szCs w:val="16"/>
        </w:rPr>
        <w:t>Introductions are confidential and any information relating to a Candidate must not be passed on to another employer or any other person without express agreement of the Company.  A breach of this clause will give rise to the Client being charged the fee in accordance with clause 15</w:t>
      </w:r>
      <w:r>
        <w:rPr>
          <w:b/>
          <w:bCs/>
          <w:i/>
          <w:iCs/>
          <w:sz w:val="16"/>
          <w:szCs w:val="16"/>
        </w:rPr>
        <w:t xml:space="preserve">.  </w:t>
      </w:r>
      <w:r>
        <w:rPr>
          <w:sz w:val="16"/>
          <w:szCs w:val="16"/>
        </w:rPr>
        <w:t xml:space="preserve">The Company will take all reasonable steps to protect the security of information provided by both the Client and the Candidate. </w:t>
      </w:r>
    </w:p>
    <w:p>
      <w:pPr>
        <w:pStyle w:val="Normal"/>
        <w:numPr>
          <w:ilvl w:val="0"/>
          <w:numId w:val="0"/>
        </w:numPr>
        <w:ind w:hanging="0" w:start="0"/>
        <w:jc w:val="both"/>
        <w:rPr>
          <w:sz w:val="16"/>
          <w:szCs w:val="16"/>
        </w:rPr>
      </w:pPr>
      <w:r>
        <w:rPr>
          <w:sz w:val="16"/>
          <w:szCs w:val="16"/>
        </w:rPr>
      </w:r>
    </w:p>
    <w:p>
      <w:pPr>
        <w:pStyle w:val="BodyText"/>
        <w:numPr>
          <w:ilvl w:val="0"/>
          <w:numId w:val="3"/>
        </w:numPr>
        <w:tabs>
          <w:tab w:val="clear" w:pos="720"/>
          <w:tab w:val="left" w:pos="0" w:leader="none"/>
          <w:tab w:val="left" w:pos="360" w:leader="none"/>
        </w:tabs>
        <w:ind w:hanging="284" w:start="284" w:end="0"/>
        <w:rPr>
          <w:b/>
          <w:bCs/>
        </w:rPr>
      </w:pPr>
      <w:r>
        <w:rPr>
          <w:b/>
          <w:bCs/>
        </w:rPr>
        <w:t>Referral</w:t>
      </w:r>
    </w:p>
    <w:p>
      <w:pPr>
        <w:pStyle w:val="BodyText"/>
        <w:numPr>
          <w:ilvl w:val="0"/>
          <w:numId w:val="0"/>
        </w:numPr>
        <w:ind w:hanging="0" w:start="0"/>
        <w:rPr>
          <w:b/>
          <w:bCs/>
        </w:rPr>
      </w:pPr>
      <w:r>
        <w:rPr>
          <w:b/>
          <w:bCs/>
        </w:rPr>
      </w:r>
    </w:p>
    <w:p>
      <w:pPr>
        <w:pStyle w:val="BodyText"/>
        <w:numPr>
          <w:ilvl w:val="0"/>
          <w:numId w:val="0"/>
        </w:numPr>
        <w:ind w:hanging="0" w:start="0"/>
        <w:rPr/>
      </w:pPr>
      <w:r>
        <w:rPr/>
        <w:t>If the Client or a member of the Client’s staff refers a Candidate to some other employer or person and that other employer or person engages the Candidate in any capacity whether temporary, permanent or self-employed, the Client shall pay the fee as defined in clause 15</w:t>
      </w:r>
      <w:r>
        <w:rPr>
          <w:b/>
          <w:bCs/>
          <w:i/>
          <w:iCs/>
        </w:rPr>
        <w:t>,</w:t>
      </w:r>
      <w:r>
        <w:rPr/>
        <w:t xml:space="preserve"> at the date of notification or discovery by the Company. </w:t>
      </w:r>
    </w:p>
    <w:p>
      <w:pPr>
        <w:pStyle w:val="BodyText"/>
        <w:numPr>
          <w:ilvl w:val="0"/>
          <w:numId w:val="0"/>
        </w:numPr>
        <w:ind w:hanging="0" w:start="0"/>
        <w:rPr/>
      </w:pPr>
      <w:r>
        <w:rPr/>
      </w:r>
    </w:p>
    <w:p>
      <w:pPr>
        <w:pStyle w:val="BodyText"/>
        <w:numPr>
          <w:ilvl w:val="0"/>
          <w:numId w:val="3"/>
        </w:numPr>
        <w:tabs>
          <w:tab w:val="clear" w:pos="720"/>
          <w:tab w:val="left" w:pos="0" w:leader="none"/>
          <w:tab w:val="left" w:pos="360" w:leader="none"/>
        </w:tabs>
        <w:ind w:hanging="284" w:start="284" w:end="0"/>
        <w:rPr>
          <w:b/>
          <w:bCs/>
        </w:rPr>
      </w:pPr>
      <w:r>
        <w:rPr>
          <w:b/>
          <w:bCs/>
        </w:rPr>
        <w:t>Indirect Introduction</w:t>
      </w:r>
    </w:p>
    <w:p>
      <w:pPr>
        <w:pStyle w:val="BodyText"/>
        <w:numPr>
          <w:ilvl w:val="0"/>
          <w:numId w:val="0"/>
        </w:numPr>
        <w:ind w:hanging="0" w:start="0"/>
        <w:rPr>
          <w:b/>
          <w:bCs/>
        </w:rPr>
      </w:pPr>
      <w:r>
        <w:rPr>
          <w:b/>
          <w:bCs/>
        </w:rPr>
      </w:r>
    </w:p>
    <w:p>
      <w:pPr>
        <w:pStyle w:val="BodyText"/>
        <w:numPr>
          <w:ilvl w:val="0"/>
          <w:numId w:val="0"/>
        </w:numPr>
        <w:ind w:hanging="0" w:start="0"/>
        <w:rPr/>
      </w:pPr>
      <w:r>
        <w:rPr/>
        <w:t>The Client shall be liable to pay the Company’s fee in accordance with clause 15</w:t>
      </w:r>
      <w:r>
        <w:rPr>
          <w:b/>
          <w:bCs/>
          <w:i/>
          <w:iCs/>
        </w:rPr>
        <w:t>,</w:t>
      </w:r>
      <w:r>
        <w:rPr/>
        <w:t xml:space="preserve"> if it refers the Candidate to its subsidiary or associated companies or any third party which engages the Candidate or in any event where an engagement results directly or indirectly from the introduction of the Company. </w:t>
      </w:r>
    </w:p>
    <w:p>
      <w:pPr>
        <w:pStyle w:val="BodyText"/>
        <w:numPr>
          <w:ilvl w:val="0"/>
          <w:numId w:val="0"/>
        </w:numPr>
        <w:ind w:hanging="0" w:start="0"/>
        <w:rPr/>
      </w:pPr>
      <w:r>
        <w:rPr/>
      </w:r>
    </w:p>
    <w:p>
      <w:pPr>
        <w:pStyle w:val="BodyText"/>
        <w:numPr>
          <w:ilvl w:val="0"/>
          <w:numId w:val="0"/>
        </w:numPr>
        <w:ind w:hanging="0" w:start="0"/>
        <w:rPr/>
      </w:pPr>
      <w:r>
        <w:rPr/>
        <w:t>Where within six months of the date of engagement of a Candidate by the Client, the Candidate introduces to the Client any individual and such individual is subsequently engaged by the Client, then upon such an engagement a placement fee shall be payable by the Client to the Company in respect of such individual being introduced to the Client by the Candidate.</w:t>
      </w:r>
    </w:p>
    <w:p>
      <w:pPr>
        <w:pStyle w:val="BodyText"/>
        <w:numPr>
          <w:ilvl w:val="0"/>
          <w:numId w:val="0"/>
        </w:numPr>
        <w:ind w:hanging="0" w:start="0"/>
        <w:rPr/>
      </w:pPr>
      <w:r>
        <w:rPr/>
      </w:r>
    </w:p>
    <w:p>
      <w:pPr>
        <w:pStyle w:val="BodyText"/>
        <w:numPr>
          <w:ilvl w:val="0"/>
          <w:numId w:val="3"/>
        </w:numPr>
        <w:tabs>
          <w:tab w:val="clear" w:pos="720"/>
          <w:tab w:val="left" w:pos="0" w:leader="none"/>
          <w:tab w:val="left" w:pos="360" w:leader="none"/>
        </w:tabs>
        <w:ind w:hanging="0" w:start="360" w:end="0"/>
        <w:rPr>
          <w:b/>
          <w:bCs/>
        </w:rPr>
      </w:pPr>
      <w:r>
        <w:rPr>
          <w:b/>
          <w:bCs/>
        </w:rPr>
        <w:t>Effective Period of Introduction</w:t>
      </w:r>
    </w:p>
    <w:p>
      <w:pPr>
        <w:pStyle w:val="BodyText"/>
        <w:rPr>
          <w:b/>
          <w:bCs/>
        </w:rPr>
      </w:pPr>
      <w:r>
        <w:rPr>
          <w:b/>
          <w:bCs/>
        </w:rPr>
      </w:r>
    </w:p>
    <w:p>
      <w:pPr>
        <w:pStyle w:val="BodyText"/>
        <w:rPr/>
      </w:pPr>
      <w:r>
        <w:rPr/>
        <w:t xml:space="preserve">If within one year of an introduction or the engagement of a Candidate the Client agrees to employ, re-employ or make use of the Candidate, and providing a full fee has not been paid within that year in respect of the said Candidate a full fee will be charged. </w:t>
      </w:r>
    </w:p>
    <w:p>
      <w:pPr>
        <w:pStyle w:val="BodyText"/>
        <w:rPr/>
      </w:pPr>
      <w:r>
        <w:rPr/>
      </w:r>
    </w:p>
    <w:p>
      <w:pPr>
        <w:pStyle w:val="BodyText"/>
        <w:ind w:hanging="426" w:start="426" w:end="0"/>
        <w:rPr>
          <w:b/>
          <w:bCs/>
        </w:rPr>
      </w:pPr>
      <w:r>
        <w:rPr>
          <w:b/>
          <w:bCs/>
        </w:rPr>
        <w:t xml:space="preserve">11.  </w:t>
        <w:tab/>
        <w:t>Contact with the Candidate</w:t>
      </w:r>
    </w:p>
    <w:p>
      <w:pPr>
        <w:pStyle w:val="BodyText"/>
        <w:rPr>
          <w:b/>
          <w:bCs/>
        </w:rPr>
      </w:pPr>
      <w:r>
        <w:rPr>
          <w:b/>
          <w:bCs/>
        </w:rPr>
      </w:r>
    </w:p>
    <w:p>
      <w:pPr>
        <w:pStyle w:val="BodyText"/>
        <w:rPr/>
      </w:pPr>
      <w:r>
        <w:rPr/>
        <w:t>Following the introduction of the Candidate, the Client will advise the Company if it wishes to speak directly to the Candidate.</w:t>
      </w:r>
    </w:p>
    <w:p>
      <w:pPr>
        <w:pStyle w:val="BodyText"/>
        <w:rPr/>
      </w:pPr>
      <w:r>
        <w:rPr/>
      </w:r>
    </w:p>
    <w:p>
      <w:pPr>
        <w:pStyle w:val="BodyText"/>
        <w:rPr/>
      </w:pPr>
      <w:r>
        <w:rPr/>
      </w:r>
    </w:p>
    <w:p>
      <w:pPr>
        <w:pStyle w:val="BodyText"/>
        <w:rPr/>
      </w:pPr>
      <w:r>
        <w:rPr/>
      </w:r>
    </w:p>
    <w:p>
      <w:pPr>
        <w:pStyle w:val="BodyText"/>
        <w:rPr/>
      </w:pPr>
      <w:r>
        <w:rPr/>
      </w:r>
    </w:p>
    <w:p>
      <w:pPr>
        <w:pStyle w:val="BodyText"/>
        <w:tabs>
          <w:tab w:val="clear" w:pos="720"/>
          <w:tab w:val="left" w:pos="426" w:leader="none"/>
        </w:tabs>
        <w:rPr>
          <w:b/>
          <w:bCs/>
        </w:rPr>
      </w:pPr>
      <w:r>
        <w:rPr>
          <w:b/>
          <w:bCs/>
        </w:rPr>
        <w:t xml:space="preserve">12.   </w:t>
        <w:tab/>
        <w:t>Offer of Engagement</w:t>
      </w:r>
    </w:p>
    <w:p>
      <w:pPr>
        <w:pStyle w:val="BodyText"/>
        <w:rPr>
          <w:b/>
          <w:bCs/>
        </w:rPr>
      </w:pPr>
      <w:r>
        <w:rPr>
          <w:b/>
          <w:bCs/>
        </w:rPr>
      </w:r>
    </w:p>
    <w:p>
      <w:pPr>
        <w:pStyle w:val="BodyText"/>
        <w:rPr/>
      </w:pPr>
      <w:r>
        <w:rPr/>
        <w:t xml:space="preserve">Prior to the date of engagement the Client shall upon making an offer of engagement to any Candidate introduced by the Company, immediately notify the Company of the full terms of that offer (and shall confirm such information in writing if so requested by the Company) and shall further provide the Company, upon request, with copies of all documents relating to the terms of the engagement passing between the Candidate and the Client. </w:t>
      </w:r>
    </w:p>
    <w:p>
      <w:pPr>
        <w:pStyle w:val="BodyText"/>
        <w:rPr/>
      </w:pPr>
      <w:r>
        <w:rPr/>
      </w:r>
    </w:p>
    <w:p>
      <w:pPr>
        <w:pStyle w:val="BodyText"/>
        <w:tabs>
          <w:tab w:val="clear" w:pos="720"/>
          <w:tab w:val="left" w:pos="426" w:leader="none"/>
        </w:tabs>
        <w:rPr>
          <w:b/>
          <w:bCs/>
        </w:rPr>
      </w:pPr>
      <w:r>
        <w:rPr>
          <w:b/>
          <w:bCs/>
        </w:rPr>
        <w:t xml:space="preserve">13.   </w:t>
        <w:tab/>
        <w:t>Indemnity</w:t>
      </w:r>
    </w:p>
    <w:p>
      <w:pPr>
        <w:pStyle w:val="BodyText"/>
        <w:rPr>
          <w:b/>
          <w:bCs/>
        </w:rPr>
      </w:pPr>
      <w:r>
        <w:rPr>
          <w:b/>
          <w:bCs/>
        </w:rPr>
      </w:r>
    </w:p>
    <w:p>
      <w:pPr>
        <w:pStyle w:val="BodyText"/>
        <w:rPr/>
      </w:pPr>
      <w:r>
        <w:rPr/>
        <w:t xml:space="preserve">The Client shall fully and effectively indemnify the Company against all costs and expenses which the Company incurs in enforcing these Terms contained herein including, without limit to the generality of the foregoing, the recovery of all monies due from the Client whether by proceedings or other means. </w:t>
      </w:r>
    </w:p>
    <w:p>
      <w:pPr>
        <w:pStyle w:val="BodyText"/>
        <w:rPr>
          <w:b/>
          <w:bCs/>
          <w:i/>
          <w:i/>
          <w:iCs/>
        </w:rPr>
      </w:pPr>
      <w:r>
        <w:rPr>
          <w:b/>
          <w:bCs/>
          <w:i/>
          <w:iCs/>
        </w:rPr>
      </w:r>
    </w:p>
    <w:p>
      <w:pPr>
        <w:pStyle w:val="BodyText"/>
        <w:numPr>
          <w:ilvl w:val="0"/>
          <w:numId w:val="4"/>
        </w:numPr>
        <w:tabs>
          <w:tab w:val="clear" w:pos="720"/>
          <w:tab w:val="left" w:pos="0" w:leader="none"/>
        </w:tabs>
        <w:ind w:hanging="0" w:start="426" w:end="0"/>
        <w:rPr>
          <w:b/>
          <w:bCs/>
        </w:rPr>
      </w:pPr>
      <w:r>
        <w:rPr>
          <w:b/>
          <w:bCs/>
        </w:rPr>
        <w:t xml:space="preserve">Non solicitation of the Company’s employees </w:t>
      </w:r>
    </w:p>
    <w:p>
      <w:pPr>
        <w:pStyle w:val="BodyText"/>
        <w:rPr>
          <w:b/>
          <w:bCs/>
        </w:rPr>
      </w:pPr>
      <w:r>
        <w:rPr>
          <w:b/>
          <w:bCs/>
        </w:rPr>
      </w:r>
    </w:p>
    <w:p>
      <w:pPr>
        <w:pStyle w:val="BodyText"/>
        <w:rPr/>
      </w:pPr>
      <w:r>
        <w:rPr/>
        <w:t>The Client guarantees not to directly or indirectly solicit the employees of the Company.  If any employee is engaged by the Client a fee of £100,000 will be charged upon the resignation of the employee from the Company.</w:t>
      </w:r>
    </w:p>
    <w:p>
      <w:pPr>
        <w:pStyle w:val="BodyText"/>
        <w:rPr/>
      </w:pPr>
      <w:r>
        <w:rPr/>
      </w:r>
    </w:p>
    <w:p>
      <w:pPr>
        <w:pStyle w:val="BodyText"/>
        <w:jc w:val="center"/>
        <w:rPr>
          <w:b/>
          <w:bCs/>
        </w:rPr>
      </w:pPr>
      <w:r>
        <w:rPr>
          <w:b/>
          <w:bCs/>
        </w:rPr>
        <w:t>FEES</w:t>
      </w:r>
    </w:p>
    <w:p>
      <w:pPr>
        <w:pStyle w:val="BodyText"/>
        <w:numPr>
          <w:ilvl w:val="0"/>
          <w:numId w:val="5"/>
        </w:numPr>
        <w:tabs>
          <w:tab w:val="clear" w:pos="720"/>
          <w:tab w:val="left" w:pos="0" w:leader="none"/>
        </w:tabs>
        <w:ind w:hanging="0" w:start="426" w:end="0"/>
        <w:rPr>
          <w:b/>
          <w:bCs/>
        </w:rPr>
      </w:pPr>
      <w:r>
        <w:rPr>
          <w:b/>
          <w:bCs/>
        </w:rPr>
        <w:t xml:space="preserve">Fees </w:t>
      </w:r>
    </w:p>
    <w:p>
      <w:pPr>
        <w:pStyle w:val="BodyText"/>
        <w:rPr>
          <w:b/>
          <w:bCs/>
        </w:rPr>
      </w:pPr>
      <w:r>
        <w:rPr>
          <w:b/>
          <w:bCs/>
        </w:rPr>
      </w:r>
    </w:p>
    <w:p>
      <w:pPr>
        <w:pStyle w:val="BodyText"/>
        <w:rPr/>
      </w:pPr>
      <w:r>
        <w:rPr/>
        <w:t>The fee will be a percentage of the first year’s remuneration, calculated at the prevailing rate according to the method of recruitment</w:t>
      </w:r>
      <w:r>
        <w:rPr>
          <w:b/>
          <w:bCs/>
          <w:i/>
          <w:iCs/>
        </w:rPr>
        <w:t>.</w:t>
      </w:r>
      <w:r>
        <w:rPr/>
        <w:t xml:space="preserve">  </w:t>
      </w:r>
    </w:p>
    <w:p>
      <w:pPr>
        <w:pStyle w:val="BodyText"/>
        <w:rPr/>
      </w:pPr>
      <w:r>
        <w:rPr/>
      </w:r>
    </w:p>
    <w:p>
      <w:pPr>
        <w:pStyle w:val="BodyText"/>
        <w:rPr/>
      </w:pPr>
      <w:r>
        <w:rPr/>
        <w:t>The Client shall be liable to pay all reasonable expenses accrued during the course of the assignment.  All such expenditure will be agreed with the Client and confirmed in writing and/or by email by the Company.</w:t>
      </w:r>
    </w:p>
    <w:p>
      <w:pPr>
        <w:pStyle w:val="BodyText"/>
        <w:rPr/>
      </w:pPr>
      <w:r>
        <w:rPr/>
      </w:r>
    </w:p>
    <w:p>
      <w:pPr>
        <w:pStyle w:val="BodyText"/>
        <w:rPr/>
      </w:pPr>
      <w:r>
        <w:rPr/>
        <w:t xml:space="preserve">The alternative methods of recruitment are as follows: </w:t>
      </w:r>
    </w:p>
    <w:p>
      <w:pPr>
        <w:pStyle w:val="BodyText"/>
        <w:rPr/>
      </w:pPr>
      <w:r>
        <w:rPr/>
      </w:r>
    </w:p>
    <w:p>
      <w:pPr>
        <w:pStyle w:val="BodyText"/>
        <w:numPr>
          <w:ilvl w:val="1"/>
          <w:numId w:val="6"/>
        </w:numPr>
        <w:tabs>
          <w:tab w:val="clear" w:pos="720"/>
          <w:tab w:val="left" w:pos="0" w:leader="none"/>
        </w:tabs>
        <w:ind w:hanging="0" w:start="426" w:end="0"/>
        <w:rPr>
          <w:b/>
          <w:bCs/>
        </w:rPr>
      </w:pPr>
      <w:r>
        <w:rPr>
          <w:b/>
          <w:bCs/>
        </w:rPr>
        <w:t>Search</w:t>
      </w:r>
    </w:p>
    <w:p>
      <w:pPr>
        <w:pStyle w:val="BodyText"/>
        <w:rPr>
          <w:b/>
          <w:bCs/>
        </w:rPr>
      </w:pPr>
      <w:r>
        <w:rPr>
          <w:b/>
          <w:bCs/>
        </w:rPr>
      </w:r>
    </w:p>
    <w:p>
      <w:pPr>
        <w:pStyle w:val="BodyText"/>
        <w:rPr/>
      </w:pPr>
      <w:r>
        <w:rPr/>
        <w:t xml:space="preserve">The prevailing percentage rate for the calculation of the Company’s fees on a  search assignment will be 30%.   </w:t>
      </w:r>
    </w:p>
    <w:p>
      <w:pPr>
        <w:pStyle w:val="BodyText"/>
        <w:rPr/>
      </w:pPr>
      <w:r>
        <w:rPr/>
      </w:r>
    </w:p>
    <w:p>
      <w:pPr>
        <w:pStyle w:val="BodyText"/>
        <w:rPr/>
      </w:pPr>
      <w:r>
        <w:rPr/>
        <w:t>A retained search is where the Client engages the Company exclusively on an assignment.  A fee will be charged over the first month of a retained search to be agreed between the Client and the Company on a per assignment basis, but where this fee will not be less than 1/3</w:t>
      </w:r>
      <w:r>
        <w:rPr>
          <w:vertAlign w:val="superscript"/>
        </w:rPr>
        <w:t>rd</w:t>
      </w:r>
      <w:r>
        <w:rPr/>
        <w:t xml:space="preserve"> of the estimated total fee or £7,500 which ever the higher.</w:t>
      </w:r>
      <w:r>
        <w:rPr>
          <w:b/>
          <w:bCs/>
          <w:i/>
          <w:iCs/>
        </w:rPr>
        <w:t xml:space="preserve"> </w:t>
      </w:r>
      <w:r>
        <w:rPr/>
        <w:t xml:space="preserve"> The Client will pay this fee to the Company when the Company receives written authorisation and/or email confirmation from the Client to commence work on the assignment. This fee is non-refundable. </w:t>
      </w:r>
    </w:p>
    <w:p>
      <w:pPr>
        <w:pStyle w:val="BodyText"/>
        <w:rPr/>
      </w:pPr>
      <w:r>
        <w:rPr/>
      </w:r>
    </w:p>
    <w:p>
      <w:pPr>
        <w:pStyle w:val="BodyText"/>
        <w:rPr/>
      </w:pPr>
      <w:r>
        <w:rPr/>
        <w:t xml:space="preserve">When the Client hires an additional Candidate, submitted within the shortlist on a retained search the full introductory fee will be payable. </w:t>
      </w:r>
    </w:p>
    <w:p>
      <w:pPr>
        <w:pStyle w:val="BodyText"/>
        <w:rPr/>
      </w:pPr>
      <w:r>
        <w:rPr/>
      </w:r>
    </w:p>
    <w:p>
      <w:pPr>
        <w:pStyle w:val="BodyText"/>
        <w:rPr/>
      </w:pPr>
      <w:r>
        <w:rPr/>
        <w:t>A completion fee of 30% of the first year’s remuneration less the fee referred to in clause 15.1 above becomes payable to the Company by the Client upon the Candidate’s date of engagement with the Client.</w:t>
      </w:r>
    </w:p>
    <w:p>
      <w:pPr>
        <w:pStyle w:val="BodyText"/>
        <w:rPr/>
      </w:pPr>
      <w:r>
        <w:rPr/>
      </w:r>
    </w:p>
    <w:p>
      <w:pPr>
        <w:pStyle w:val="BodyText"/>
        <w:rPr/>
      </w:pPr>
      <w:r>
        <w:rPr/>
        <w:t xml:space="preserve">When the Client gives the Company an exclusive search, retained or non-retained, the Client will pass on any Candidate applications to the Company in order for the Company to act on behalf of the Client.  </w:t>
      </w:r>
    </w:p>
    <w:p>
      <w:pPr>
        <w:pStyle w:val="BodyText"/>
        <w:rPr/>
      </w:pPr>
      <w:r>
        <w:rPr/>
      </w:r>
    </w:p>
    <w:p>
      <w:pPr>
        <w:pStyle w:val="BodyText"/>
        <w:rPr/>
      </w:pPr>
      <w:r>
        <w:rPr/>
      </w:r>
    </w:p>
    <w:p>
      <w:pPr>
        <w:pStyle w:val="BodyText"/>
        <w:rPr/>
      </w:pPr>
      <w:r>
        <w:rPr/>
      </w:r>
    </w:p>
    <w:p>
      <w:pPr>
        <w:pStyle w:val="BodyText"/>
        <w:rPr>
          <w:b/>
          <w:bCs/>
        </w:rPr>
      </w:pPr>
      <w:r>
        <w:rPr>
          <w:b/>
          <w:bCs/>
        </w:rPr>
      </w:r>
    </w:p>
    <w:p>
      <w:pPr>
        <w:pStyle w:val="BodyText"/>
        <w:rPr>
          <w:b/>
          <w:bCs/>
        </w:rPr>
      </w:pPr>
      <w:r>
        <w:rPr>
          <w:b/>
          <w:bCs/>
        </w:rPr>
        <w:t>Cancellation of Search</w:t>
      </w:r>
    </w:p>
    <w:p>
      <w:pPr>
        <w:pStyle w:val="BodyText"/>
        <w:rPr>
          <w:b/>
          <w:bCs/>
        </w:rPr>
      </w:pPr>
      <w:r>
        <w:rPr>
          <w:b/>
          <w:bCs/>
        </w:rPr>
      </w:r>
    </w:p>
    <w:p>
      <w:pPr>
        <w:pStyle w:val="BodyText"/>
        <w:rPr/>
      </w:pPr>
      <w:r>
        <w:rPr>
          <w:b/>
          <w:bCs/>
        </w:rPr>
        <w:t>External Applicant:</w:t>
      </w:r>
      <w:r>
        <w:rPr/>
        <w:t xml:space="preserve"> If the Client engages a Candidate through another source, then the Client will pay 15% of the remuneration of the Candidate to the Company.</w:t>
      </w:r>
    </w:p>
    <w:p>
      <w:pPr>
        <w:pStyle w:val="BodyText"/>
        <w:rPr>
          <w:b/>
          <w:bCs/>
        </w:rPr>
      </w:pPr>
      <w:r>
        <w:rPr>
          <w:b/>
          <w:bCs/>
        </w:rPr>
      </w:r>
    </w:p>
    <w:p>
      <w:pPr>
        <w:pStyle w:val="BodyText"/>
        <w:rPr/>
      </w:pPr>
      <w:r>
        <w:rPr>
          <w:b/>
          <w:bCs/>
        </w:rPr>
        <w:t xml:space="preserve">Change of Specification: </w:t>
      </w:r>
      <w:r>
        <w:rPr/>
        <w:t>Should the Client change the specification of the role, as originally agreed, resulting in the search process needing to be re-started, a further retained fee will be levied equivalent to the initial fee.</w:t>
      </w:r>
    </w:p>
    <w:p>
      <w:pPr>
        <w:pStyle w:val="BodyText"/>
        <w:rPr>
          <w:b/>
          <w:bCs/>
          <w:i/>
          <w:i/>
          <w:iCs/>
        </w:rPr>
      </w:pPr>
      <w:r>
        <w:rPr>
          <w:b/>
          <w:bCs/>
          <w:i/>
          <w:iCs/>
        </w:rPr>
      </w:r>
    </w:p>
    <w:p>
      <w:pPr>
        <w:pStyle w:val="BodyText"/>
        <w:rPr/>
      </w:pPr>
      <w:r>
        <w:rPr>
          <w:b/>
          <w:bCs/>
        </w:rPr>
        <w:t xml:space="preserve">Assignment on Hold or Terminated before Completion: </w:t>
      </w:r>
      <w:r>
        <w:rPr/>
        <w:t xml:space="preserve">Should the Client postpone or discontinue the assignment for any reason whatsoever, then a cancellation fee will become chargeable immediately if the assignment is terminated or after three months of being on hold. This fee will be equivalent to the initial fee. </w:t>
      </w:r>
    </w:p>
    <w:p>
      <w:pPr>
        <w:pStyle w:val="BodyText"/>
        <w:rPr/>
      </w:pPr>
      <w:r>
        <w:rPr/>
      </w:r>
    </w:p>
    <w:p>
      <w:pPr>
        <w:pStyle w:val="BodyText"/>
        <w:tabs>
          <w:tab w:val="clear" w:pos="720"/>
          <w:tab w:val="left" w:pos="426" w:leader="none"/>
        </w:tabs>
        <w:rPr>
          <w:b/>
          <w:bCs/>
        </w:rPr>
      </w:pPr>
      <w:r>
        <w:rPr>
          <w:b/>
          <w:bCs/>
        </w:rPr>
        <w:t>15.2</w:t>
        <w:tab/>
        <w:t>Selection Assignments</w:t>
      </w:r>
    </w:p>
    <w:p>
      <w:pPr>
        <w:pStyle w:val="BodyText"/>
        <w:rPr>
          <w:b/>
          <w:bCs/>
        </w:rPr>
      </w:pPr>
      <w:r>
        <w:rPr>
          <w:b/>
          <w:bCs/>
        </w:rPr>
      </w:r>
    </w:p>
    <w:p>
      <w:pPr>
        <w:pStyle w:val="BodyText"/>
        <w:rPr/>
      </w:pPr>
      <w:r>
        <w:rPr/>
        <w:t>Candidates engaged by the Client which have been delivered to the Client via Client paid advertising  (unless this advertising campaign is supported by search) will be charged at 25% of first year’s remuneration.</w:t>
      </w:r>
    </w:p>
    <w:p>
      <w:pPr>
        <w:pStyle w:val="BodyText"/>
        <w:rPr>
          <w:b/>
          <w:bCs/>
        </w:rPr>
      </w:pPr>
      <w:r>
        <w:rPr>
          <w:b/>
          <w:bCs/>
        </w:rPr>
      </w:r>
    </w:p>
    <w:p>
      <w:pPr>
        <w:pStyle w:val="BodyText"/>
        <w:rPr/>
      </w:pPr>
      <w:r>
        <w:rPr/>
        <w:t xml:space="preserve">Advertising will be confirmed by the Client in writing and/or email and will be invoiced on the date of confirmation. In addition all related artwork and production charges are payable by the Client with prior written consent. Cancellations will only be accepted when reasonable time to claim a full refund is given. </w:t>
      </w:r>
    </w:p>
    <w:p>
      <w:pPr>
        <w:pStyle w:val="BodyText"/>
        <w:rPr>
          <w:b/>
          <w:bCs/>
        </w:rPr>
      </w:pPr>
      <w:r>
        <w:rPr>
          <w:b/>
          <w:bCs/>
        </w:rPr>
      </w:r>
    </w:p>
    <w:p>
      <w:pPr>
        <w:pStyle w:val="BodyText"/>
        <w:tabs>
          <w:tab w:val="clear" w:pos="720"/>
          <w:tab w:val="left" w:pos="426" w:leader="none"/>
        </w:tabs>
        <w:rPr>
          <w:b/>
          <w:bCs/>
        </w:rPr>
      </w:pPr>
      <w:r>
        <w:rPr>
          <w:b/>
          <w:bCs/>
        </w:rPr>
        <w:t>15.3</w:t>
        <w:tab/>
        <w:t xml:space="preserve">Contingent Introduction </w:t>
      </w:r>
    </w:p>
    <w:p>
      <w:pPr>
        <w:pStyle w:val="BodyText"/>
        <w:rPr>
          <w:b/>
          <w:bCs/>
        </w:rPr>
      </w:pPr>
      <w:r>
        <w:rPr>
          <w:b/>
          <w:bCs/>
        </w:rPr>
      </w:r>
    </w:p>
    <w:p>
      <w:pPr>
        <w:pStyle w:val="BodyText"/>
        <w:rPr/>
      </w:pPr>
      <w:r>
        <w:rPr/>
        <w:t xml:space="preserve">Where a contingent introduction of a Candidate is an introduction on non-exclusive/retained basis i.e. all Candidate introductions outside clauses 15.1 and 15.2.  </w:t>
      </w:r>
    </w:p>
    <w:p>
      <w:pPr>
        <w:pStyle w:val="BodyText"/>
        <w:rPr/>
      </w:pPr>
      <w:r>
        <w:rPr/>
      </w:r>
    </w:p>
    <w:p>
      <w:pPr>
        <w:pStyle w:val="BodyText"/>
        <w:rPr/>
      </w:pPr>
      <w:r>
        <w:rPr/>
        <w:t>The scale of fees will be as follows:</w:t>
      </w:r>
    </w:p>
    <w:p>
      <w:pPr>
        <w:pStyle w:val="BodyText"/>
        <w:rPr/>
      </w:pPr>
      <w:r>
        <w:rPr/>
      </w:r>
    </w:p>
    <w:p>
      <w:pPr>
        <w:pStyle w:val="BodyText"/>
        <w:rPr/>
      </w:pPr>
      <w:r>
        <w:rPr/>
        <w:t>Remuneration to £49,999 at 25%</w:t>
      </w:r>
    </w:p>
    <w:p>
      <w:pPr>
        <w:pStyle w:val="BodyText"/>
        <w:rPr/>
      </w:pPr>
      <w:r>
        <w:rPr/>
        <w:t>Remuneration on and above £50,000 at 30%</w:t>
        <w:tab/>
      </w:r>
    </w:p>
    <w:p>
      <w:pPr>
        <w:pStyle w:val="BodyText"/>
        <w:rPr/>
      </w:pPr>
      <w:r>
        <w:rPr/>
      </w:r>
    </w:p>
    <w:p>
      <w:pPr>
        <w:pStyle w:val="BodyText"/>
        <w:tabs>
          <w:tab w:val="clear" w:pos="720"/>
          <w:tab w:val="left" w:pos="426" w:leader="none"/>
        </w:tabs>
        <w:rPr>
          <w:b/>
          <w:bCs/>
        </w:rPr>
      </w:pPr>
      <w:r>
        <w:rPr>
          <w:b/>
          <w:bCs/>
        </w:rPr>
        <w:t>16.</w:t>
        <w:tab/>
        <w:t>Resignation within Probationary Period</w:t>
      </w:r>
    </w:p>
    <w:p>
      <w:pPr>
        <w:pStyle w:val="BodyText"/>
        <w:rPr>
          <w:b/>
          <w:bCs/>
          <w:i/>
          <w:i/>
          <w:iCs/>
        </w:rPr>
      </w:pPr>
      <w:r>
        <w:rPr>
          <w:b/>
          <w:bCs/>
          <w:i/>
          <w:iCs/>
        </w:rPr>
      </w:r>
    </w:p>
    <w:p>
      <w:pPr>
        <w:pStyle w:val="BodyText"/>
        <w:rPr/>
      </w:pPr>
      <w:r>
        <w:rPr/>
        <w:t xml:space="preserve">Should a Candidate who has been engaged by the Client resign within three months of the engagement date the Company will endeavour to replace the Candidate and no further fee will be payable. </w:t>
      </w:r>
    </w:p>
    <w:p>
      <w:pPr>
        <w:pStyle w:val="BodyText"/>
        <w:rPr/>
      </w:pPr>
      <w:r>
        <w:rPr/>
      </w:r>
    </w:p>
    <w:p>
      <w:pPr>
        <w:pStyle w:val="BodyText"/>
        <w:jc w:val="center"/>
        <w:rPr>
          <w:b/>
          <w:bCs/>
        </w:rPr>
      </w:pPr>
      <w:r>
        <w:rPr>
          <w:b/>
          <w:bCs/>
        </w:rPr>
        <w:t>LIABILITY</w:t>
      </w:r>
    </w:p>
    <w:p>
      <w:pPr>
        <w:pStyle w:val="BodyText"/>
        <w:jc w:val="center"/>
        <w:rPr>
          <w:b/>
          <w:bCs/>
        </w:rPr>
      </w:pPr>
      <w:r>
        <w:rPr>
          <w:b/>
          <w:bCs/>
        </w:rPr>
      </w:r>
    </w:p>
    <w:p>
      <w:pPr>
        <w:pStyle w:val="BodyText"/>
        <w:numPr>
          <w:ilvl w:val="0"/>
          <w:numId w:val="7"/>
        </w:numPr>
        <w:tabs>
          <w:tab w:val="clear" w:pos="720"/>
          <w:tab w:val="left" w:pos="0" w:leader="none"/>
        </w:tabs>
        <w:ind w:hanging="720" w:start="720" w:end="0"/>
        <w:rPr/>
      </w:pPr>
      <w:r>
        <w:rPr>
          <w:b/>
          <w:bCs/>
        </w:rPr>
        <w:t xml:space="preserve">Suitability: </w:t>
      </w:r>
      <w:r>
        <w:rPr/>
        <w:t xml:space="preserve">The Company will endeavour to make every reasonable effort to ensure the suitability of Candidates selected on behalf of the Client but does not take up references.  The Client is responsible for the taking up of references and in establishing the Candidate’s academic and professional qualifications, capabilities, integrity, medical history and suitability to meet the Client’s requirements.  The Client is responsible for obtaining a work permit for the Candidate wherever necessary. </w:t>
      </w:r>
    </w:p>
    <w:p>
      <w:pPr>
        <w:pStyle w:val="BodyText"/>
        <w:numPr>
          <w:ilvl w:val="0"/>
          <w:numId w:val="0"/>
        </w:numPr>
        <w:ind w:hanging="0" w:start="0"/>
        <w:rPr>
          <w:i/>
          <w:i/>
          <w:iCs/>
        </w:rPr>
      </w:pPr>
      <w:r>
        <w:rPr>
          <w:i/>
          <w:iCs/>
        </w:rPr>
      </w:r>
    </w:p>
    <w:p>
      <w:pPr>
        <w:pStyle w:val="BodyText"/>
        <w:numPr>
          <w:ilvl w:val="0"/>
          <w:numId w:val="7"/>
        </w:numPr>
        <w:tabs>
          <w:tab w:val="clear" w:pos="720"/>
          <w:tab w:val="left" w:pos="0" w:leader="none"/>
        </w:tabs>
        <w:ind w:hanging="360" w:start="720" w:end="0"/>
        <w:rPr/>
      </w:pPr>
      <w:r>
        <w:rPr>
          <w:b/>
          <w:bCs/>
        </w:rPr>
        <w:t xml:space="preserve">Liability: </w:t>
      </w:r>
      <w:r>
        <w:rPr/>
        <w:t xml:space="preserve">No warranty or representation expressed or implied is given in respect of any Candidate introduced and no liability can be accepted by the Company for any failure of a Candidate to perform or comply with his/her terms of employment or engagement, or for any loss, expense, damage or delay however occasioned arising from the introduction of the Candidate or his/her employment by the Client. </w:t>
      </w:r>
    </w:p>
    <w:p>
      <w:pPr>
        <w:pStyle w:val="BodyText"/>
        <w:jc w:val="center"/>
        <w:rPr>
          <w:b/>
          <w:bCs/>
        </w:rPr>
      </w:pPr>
      <w:r>
        <w:rPr>
          <w:b/>
          <w:bCs/>
        </w:rPr>
      </w:r>
    </w:p>
    <w:p>
      <w:pPr>
        <w:pStyle w:val="BodyText"/>
        <w:jc w:val="center"/>
        <w:rPr>
          <w:b/>
          <w:bCs/>
        </w:rPr>
      </w:pPr>
      <w:r>
        <w:rPr>
          <w:b/>
          <w:bCs/>
        </w:rPr>
      </w:r>
    </w:p>
    <w:p>
      <w:pPr>
        <w:sectPr>
          <w:type w:val="continuous"/>
          <w:pgSz w:w="11906" w:h="16838"/>
          <w:pgMar w:left="1800" w:right="1800" w:gutter="0" w:header="0" w:top="993" w:footer="0" w:bottom="1440"/>
          <w:cols w:num="2" w:space="720" w:equalWidth="true" w:sep="false"/>
          <w:formProt w:val="false"/>
          <w:textDirection w:val="lrTb"/>
        </w:sectPr>
      </w:pPr>
    </w:p>
    <w:p>
      <w:pPr>
        <w:pStyle w:val="Normal"/>
        <w:rPr>
          <w:sz w:val="16"/>
          <w:szCs w:val="16"/>
        </w:rPr>
      </w:pPr>
      <w:r>
        <w:rPr>
          <w:sz w:val="16"/>
          <w:szCs w:val="16"/>
        </w:rPr>
      </w:r>
    </w:p>
    <w:sectPr>
      <w:type w:val="continuous"/>
      <w:pgSz w:w="11906" w:h="16838"/>
      <w:pgMar w:left="1800" w:right="1800" w:gutter="0" w:header="0" w:top="993"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4"/>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4"/>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4"/>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4"/>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bCs/>
      <w:sz w:val="16"/>
      <w:szCs w:val="16"/>
    </w:rPr>
  </w:style>
  <w:style w:type="character" w:styleId="DefaultParagraphFont">
    <w:name w:val="Default Paragraph Font"/>
    <w:qFormat/>
    <w:rPr/>
  </w:style>
  <w:style w:type="paragraph" w:styleId="Heading">
    <w:name w:val="Heading"/>
    <w:basedOn w:val="Normal"/>
    <w:next w:val="BodyText"/>
    <w:qFormat/>
    <w:pPr>
      <w:jc w:val="center"/>
    </w:pPr>
    <w:rPr>
      <w:b/>
      <w:bCs/>
      <w:sz w:val="32"/>
      <w:szCs w:val="32"/>
    </w:rPr>
  </w:style>
  <w:style w:type="paragraph" w:styleId="BodyText">
    <w:name w:val="Body Text"/>
    <w:basedOn w:val="Normal"/>
    <w:pPr>
      <w:jc w:val="both"/>
    </w:pPr>
    <w:rPr>
      <w:sz w:val="16"/>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2000-06-05T13:12:00Z</dcterms:created>
  <dc:creator>haythornthwaiteh</dc:creator>
  <dc:description/>
  <dc:language>en-CA</dc:language>
  <cp:lastModifiedBy>hobbsl</cp:lastModifiedBy>
  <cp:lastPrinted>2000-05-30T16:59:00Z</cp:lastPrinted>
  <dcterms:modified xsi:type="dcterms:W3CDTF">2000-06-05T13:12:00Z</dcterms:modified>
  <cp:revision>2</cp:revision>
  <dc:subject/>
  <dc:title>TERMS AND CONDITIONS OF BUSINESS</dc:title>
</cp:coreProperties>
</file>