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520"/>
        <w:gridCol w:w="306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Entex</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Entex, A Division of Arkla, Inc.</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rPr>
                      <w:rFonts w:cs="Arial" w:ascii="Arial" w:hAnsi="Arial"/>
                      <w:sz w:val="20"/>
                    </w:rPr>
                    <w:t>Ed McMichael</w:t>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2"/>
                          <w:listEntry w:val="NOTE DEBTOR OR NON-DEBTOR IN BANKRUPTCY"/>
                          <w:listEntry w:val="Debtor"/>
                          <w:listEntry w:val="Non-Debtor"/>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8"/>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Enron North America</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1"/>
                          <w:listEntry w:val="NOTE DEBTOR OR NON-DEBTOR IN BANKRUPTCY"/>
                          <w:listEntry w:val="Debtor"/>
                          <w:listEntry w:val="Non-Debtor"/>
                          <w:listEntry w:val="Vehicle"/>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1"/>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February 6, 2002</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3"/>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9"/>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rPr>
                      <w:rFonts w:eastAsia="Arial" w:cs="Arial" w:ascii="Arial" w:hAnsi="Arial"/>
                      <w:sz w:val="18"/>
                    </w:rPr>
                    <w:t xml:space="preserve"> </w:t>
                  </w:r>
                  <w:r>
                    <w:rPr>
                      <w:rFonts w:cs="Arial" w:ascii="Arial" w:hAnsi="Arial"/>
                      <w:sz w:val="18"/>
                    </w:rPr>
                    <w:t>N/A</w:t>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Energy-Regulated Utilities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United States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February 8, 2002</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March 25, 2002</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52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1"/>
            <w:bookmarkStart w:id="19" w:name="Check1"/>
            <w:bookmarkEnd w:id="19"/>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3"/>
            <w:bookmarkStart w:id="21" w:name="Check3"/>
            <w:bookmarkEnd w:id="21"/>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2"/>
            <w:bookmarkStart w:id="23" w:name="Check2"/>
            <w:bookmarkEnd w:id="23"/>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52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18"/>
              </w:rPr>
            </w:pPr>
            <w:r>
              <w:fldChar w:fldCharType="begin">
                <w:ffData>
                  <w:name w:val="Dropdown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4" w:name="Dropdown1"/>
            <w:bookmarkStart w:id="25" w:name="Dropdown1"/>
            <w:bookmarkEnd w:id="25"/>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b w:val="false"/>
          <w:bCs/>
        </w:rPr>
        <w:t xml:space="preserve">EXPOSURE SUMMARY ($000s) </w:t>
      </w:r>
      <w:r>
        <w:rPr/>
        <w:t>(Indicate Pre- and Post-Petition, if relevant)</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$720</w:t>
            </w:r>
          </w:p>
        </w:tc>
        <w:tc>
          <w:tcPr>
            <w:tcW w:w="4338" w:type="dxa"/>
            <w:tcBorders/>
          </w:tcPr>
          <w:p>
            <w:pPr>
              <w:pStyle w:val="Normal"/>
              <w:ind w:end="-36"/>
              <w:rPr>
                <w:rFonts w:ascii="Arial" w:hAnsi="Arial" w:cs="Arial"/>
                <w:sz w:val="20"/>
              </w:rPr>
            </w:pPr>
            <w:r>
              <w:rPr>
                <w:rFonts w:cs="Arial" w:ascii="Arial" w:hAnsi="Arial"/>
                <w:sz w:val="20"/>
              </w:rPr>
              <w:t>Approximate value of gas in storage (360,000 dths x $2.00)</w:t>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$720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Exposure after Transaction</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rPr>
          <w:rFonts w:ascii="Arial" w:hAnsi="Arial" w:cs="Arial"/>
          <w:sz w:val="20"/>
          <w:u w:val="single"/>
        </w:rPr>
      </w:pPr>
      <w:r>
        <w:rPr>
          <w:rFonts w:cs="Arial" w:ascii="Arial" w:hAnsi="Arial"/>
          <w:sz w:val="20"/>
          <w:u w:val="single"/>
        </w:rPr>
        <w:t>Overview</w:t>
      </w:r>
    </w:p>
    <w:p>
      <w:pPr>
        <w:pStyle w:val="BodyTextIndent"/>
        <w:ind w:start="0" w:end="0"/>
        <w:rPr/>
      </w:pPr>
      <w:r>
        <w:rPr/>
        <w:t>ENA provides gas to Entex on a load-following basis at multiple city gates in Tennessee’s Zone 1 area.  Four contracts govern the sale and services provided and have an end date of October 31, 2002.  ENA is agent for Entex’s Tennessee transportation and no-notice storage (Portland) contracts.  Gas in Entex’s no-notice storage account belongs to ENA but can only be delivered to specific Entex city gates.</w:t>
      </w:r>
    </w:p>
    <w:p>
      <w:pPr>
        <w:pStyle w:val="BodyTextIndent"/>
        <w:ind w:start="0" w:end="0"/>
        <w:rPr/>
      </w:pPr>
      <w:r>
        <w:rPr/>
      </w:r>
    </w:p>
    <w:p>
      <w:pPr>
        <w:pStyle w:val="Normal"/>
        <w:rPr>
          <w:rFonts w:ascii="Arial" w:hAnsi="Arial" w:cs="Arial"/>
          <w:sz w:val="20"/>
          <w:u w:val="single"/>
        </w:rPr>
      </w:pPr>
      <w:r>
        <w:rPr>
          <w:rFonts w:cs="Arial" w:ascii="Arial" w:hAnsi="Arial"/>
          <w:sz w:val="20"/>
          <w:u w:val="single"/>
        </w:rPr>
        <w:t>Description of assets/securities to be sold</w:t>
      </w:r>
    </w:p>
    <w:p>
      <w:pPr>
        <w:pStyle w:val="BodyTextIndent"/>
        <w:ind w:start="0" w:end="0"/>
        <w:rPr/>
      </w:pPr>
      <w:r>
        <w:rPr/>
        <w:t>Approximately 360,000 dths of gas in storage inventory.</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Strategic rationale for sale or termination/settlement</w:t>
      </w:r>
    </w:p>
    <w:p>
      <w:pPr>
        <w:pStyle w:val="BodyTextIndent"/>
        <w:ind w:start="0" w:end="0"/>
        <w:rPr/>
      </w:pPr>
      <w:r>
        <w:rPr/>
        <w:t>When Entex’s load exceeds the MDWQ from its storage, ENA is required to flow additional gas to cover Entex’s entire load requirement.  Because the transaction is load-following it is difficult to know the quantity of gas to prepay for delivery to Entex.  Therefore, we have been using Bear Creek storage gas in place of flowing gas.  Bear Creek inventory will be empty in a couple days.  At that time we will be forced into prepay activity.  If at any point ENA fails to deliver the required load, we risk a performance default and put in jeopardy getting paid for the approximately 360,000 dths ENA owns in Portland storage.  (The contracts have one-way termination payment language in favor of the notifying party.)</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Impact of not doing proposed transaction</w:t>
      </w:r>
    </w:p>
    <w:p>
      <w:pPr>
        <w:pStyle w:val="BodyTextIndent"/>
        <w:ind w:start="0" w:end="0"/>
        <w:rPr/>
      </w:pPr>
      <w:r>
        <w:rPr/>
        <w:t xml:space="preserve">Loss of market value (estimated at $720,000) on approximately 360,000 dths of gas.  </w:t>
      </w:r>
    </w:p>
    <w:p>
      <w:pPr>
        <w:pStyle w:val="BodyTextIndent"/>
        <w:ind w:start="0" w:end="0"/>
        <w:rPr/>
      </w:pPr>
      <w:r>
        <w:rPr/>
      </w:r>
    </w:p>
    <w:p>
      <w:pPr>
        <w:pStyle w:val="Normal"/>
        <w:rPr>
          <w:rFonts w:ascii="Arial" w:hAnsi="Arial" w:cs="Arial"/>
          <w:sz w:val="20"/>
          <w:u w:val="single"/>
        </w:rPr>
      </w:pPr>
      <w:r>
        <w:rPr>
          <w:rFonts w:cs="Arial" w:ascii="Arial" w:hAnsi="Arial"/>
          <w:sz w:val="20"/>
          <w:u w:val="single"/>
        </w:rPr>
        <w:t>Impact/potential impact on other Enron entities (debtors and non-debtors)</w:t>
      </w:r>
    </w:p>
    <w:p>
      <w:pPr>
        <w:pStyle w:val="BodyTextIndent"/>
        <w:ind w:start="0" w:end="0"/>
        <w:rPr/>
      </w:pPr>
      <w:r>
        <w:rPr/>
        <w:t>In addition to the current market value of the Portland storage inventory, the transaction has a forward value (MTM) of approximately $106,000 for the period Mar02 through Oct02.  Some portion of this value may be lost as a result of the requested early termination.  However, note that this value is in jeopardy if ENA experiences a performance default.  Therefore, if ENA attempts to retain this transaction in order to preserve the $106,000 it is risking some portion of this amount as well as the $720,000 of storage gas value.</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rPr>
          <w:rFonts w:ascii="Arial" w:hAnsi="Arial" w:cs="Arial"/>
          <w:sz w:val="20"/>
          <w:u w:val="single"/>
        </w:rPr>
      </w:pPr>
      <w:r>
        <w:rPr>
          <w:rFonts w:cs="Arial" w:ascii="Arial" w:hAnsi="Arial"/>
          <w:sz w:val="20"/>
          <w:u w:val="single"/>
        </w:rPr>
        <w:t>Impact/potential impact on different creditor class (e.g., any apparent conflicts)</w:t>
      </w:r>
    </w:p>
    <w:p>
      <w:pPr>
        <w:pStyle w:val="BodyTextIndent"/>
        <w:ind w:start="0" w:end="0"/>
        <w:rPr/>
      </w:pPr>
      <w:r>
        <w:rPr/>
        <w:t>None</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rPr>
          <w:rFonts w:ascii="Arial" w:hAnsi="Arial" w:cs="Arial"/>
          <w:sz w:val="20"/>
          <w:u w:val="single"/>
        </w:rPr>
      </w:pPr>
      <w:r>
        <w:rPr>
          <w:rFonts w:cs="Arial" w:ascii="Arial" w:hAnsi="Arial"/>
          <w:sz w:val="20"/>
          <w:u w:val="single"/>
        </w:rPr>
        <w:t>Any apparent public relations repercussions?</w:t>
      </w:r>
    </w:p>
    <w:p>
      <w:pPr>
        <w:pStyle w:val="BodyTextIndent"/>
        <w:ind w:start="0" w:end="0"/>
        <w:rPr/>
      </w:pPr>
      <w:r>
        <w:rPr/>
        <w:t>None.  Entex is agreeable to an early termination.</w:t>
      </w:r>
    </w:p>
    <w:p>
      <w:pPr>
        <w:pStyle w:val="Normal"/>
        <w:rPr/>
      </w:pPr>
      <w:r>
        <w:rPr/>
      </w:r>
    </w:p>
    <w:p>
      <w:pPr>
        <w:pStyle w:val="Heading2"/>
        <w:pBdr>
          <w:top w:val="single" w:sz="8" w:space="1" w:color="000000"/>
        </w:pBdr>
        <w:ind w:hanging="0" w:start="0"/>
        <w:rPr/>
      </w:pPr>
      <w:r>
        <w:rPr>
          <w:rFonts w:cs="Arial" w:ascii="Arial" w:hAnsi="Arial"/>
          <w:i w:val="false"/>
          <w:iCs/>
        </w:rPr>
        <w:t xml:space="preserve">OWNERSHIP STRUCTURE </w:t>
      </w:r>
      <w:r>
        <w:rPr>
          <w:rFonts w:cs="Arial" w:ascii="Arial" w:hAnsi="Arial"/>
          <w:b w:val="false"/>
          <w:bCs/>
          <w:i w:val="false"/>
          <w:iCs/>
        </w:rPr>
        <w:t>(Include or attach structure chart)</w:t>
      </w:r>
    </w:p>
    <w:p>
      <w:pPr>
        <w:pStyle w:val="Normal"/>
        <w:rPr>
          <w:rFonts w:ascii="Arial" w:hAnsi="Arial" w:cs="Arial"/>
          <w:b/>
          <w:bCs/>
          <w:i/>
          <w:i/>
          <w:iCs/>
          <w:sz w:val="20"/>
        </w:rPr>
      </w:pPr>
      <w:r>
        <w:rPr>
          <w:rFonts w:cs="Arial" w:ascii="Arial" w:hAnsi="Arial"/>
          <w:b/>
          <w:bCs/>
          <w:i/>
          <w:iCs/>
          <w:sz w:val="20"/>
        </w:rPr>
      </w:r>
    </w:p>
    <w:p>
      <w:pPr>
        <w:pStyle w:val="Heading2"/>
        <w:widowControl/>
        <w:pBdr>
          <w:top w:val="single" w:sz="8" w:space="1" w:color="000000"/>
        </w:pBdr>
        <w:ind w:hanging="0" w:start="0" w:end="-36"/>
        <w:rPr/>
      </w:pPr>
      <w:r>
        <w:rPr/>
        <w:t>TRANSACTION SOURCES AND USES OF FUNDS ($000s)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1111"/>
        <w:gridCol w:w="3870"/>
        <w:gridCol w:w="544"/>
        <w:gridCol w:w="356"/>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gridSpan w:val="2"/>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gridSpan w:val="2"/>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Purchase Price Proceeds</w:t>
            </w:r>
          </w:p>
        </w:tc>
        <w:tc>
          <w:tcPr>
            <w:tcW w:w="1440" w:type="dxa"/>
            <w:tcBorders/>
          </w:tcPr>
          <w:p>
            <w:pPr>
              <w:pStyle w:val="Normal"/>
              <w:jc w:val="end"/>
              <w:rPr>
                <w:rFonts w:ascii="Arial" w:hAnsi="Arial" w:cs="Arial"/>
                <w:sz w:val="20"/>
              </w:rPr>
            </w:pPr>
            <w:r>
              <w:rPr>
                <w:rFonts w:cs="Arial" w:ascii="Arial" w:hAnsi="Arial"/>
                <w:sz w:val="20"/>
              </w:rPr>
              <w:t>$720</w:t>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Debt Repayment</w:t>
            </w:r>
          </w:p>
        </w:tc>
        <w:tc>
          <w:tcPr>
            <w:tcW w:w="900" w:type="dxa"/>
            <w:gridSpan w:val="2"/>
            <w:tcBorders/>
          </w:tcPr>
          <w:p>
            <w:pPr>
              <w:pStyle w:val="Normal"/>
              <w:jc w:val="end"/>
              <w:rPr>
                <w:rFonts w:ascii="Arial" w:hAnsi="Arial" w:cs="Arial"/>
                <w:sz w:val="20"/>
              </w:rPr>
            </w:pPr>
            <w:r>
              <w:rPr>
                <w:rFonts w:cs="Arial" w:ascii="Arial" w:hAnsi="Arial"/>
                <w:sz w:val="20"/>
              </w:rPr>
              <w:t>0</w:t>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Bankruptcy Estate (specify debtor(s))</w:t>
            </w:r>
          </w:p>
        </w:tc>
        <w:tc>
          <w:tcPr>
            <w:tcW w:w="900" w:type="dxa"/>
            <w:gridSpan w:val="2"/>
            <w:tcBorders/>
          </w:tcPr>
          <w:p>
            <w:pPr>
              <w:pStyle w:val="Normal"/>
              <w:jc w:val="end"/>
              <w:rPr>
                <w:rFonts w:ascii="Arial" w:hAnsi="Arial" w:cs="Arial"/>
                <w:sz w:val="20"/>
              </w:rPr>
            </w:pPr>
            <w:r>
              <w:rPr>
                <w:rFonts w:cs="Arial" w:ascii="Arial" w:hAnsi="Arial"/>
                <w:sz w:val="20"/>
              </w:rPr>
              <w:t>$720</w:t>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Third Party Equity (specify entity(ies))</w:t>
            </w:r>
          </w:p>
        </w:tc>
        <w:tc>
          <w:tcPr>
            <w:tcW w:w="900" w:type="dxa"/>
            <w:gridSpan w:val="2"/>
            <w:tcBorders/>
          </w:tcPr>
          <w:p>
            <w:pPr>
              <w:pStyle w:val="Normal"/>
              <w:jc w:val="end"/>
              <w:rPr>
                <w:rFonts w:ascii="Arial" w:hAnsi="Arial" w:cs="Arial"/>
                <w:sz w:val="20"/>
              </w:rPr>
            </w:pPr>
            <w:r>
              <w:rPr>
                <w:rFonts w:cs="Arial" w:ascii="Arial" w:hAnsi="Arial"/>
                <w:sz w:val="20"/>
              </w:rPr>
              <w:t>0</w:t>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Transaction Costs</w:t>
            </w:r>
          </w:p>
        </w:tc>
        <w:tc>
          <w:tcPr>
            <w:tcW w:w="900" w:type="dxa"/>
            <w:gridSpan w:val="2"/>
            <w:tcBorders/>
          </w:tcPr>
          <w:p>
            <w:pPr>
              <w:pStyle w:val="Normal"/>
              <w:jc w:val="end"/>
              <w:rPr>
                <w:rFonts w:ascii="Arial" w:hAnsi="Arial" w:cs="Arial"/>
                <w:sz w:val="20"/>
              </w:rPr>
            </w:pPr>
            <w:r>
              <w:rPr>
                <w:rFonts w:cs="Arial" w:ascii="Arial" w:hAnsi="Arial"/>
                <w:sz w:val="20"/>
              </w:rPr>
              <w:t>0</w:t>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Contingency</w:t>
            </w:r>
          </w:p>
        </w:tc>
        <w:tc>
          <w:tcPr>
            <w:tcW w:w="900" w:type="dxa"/>
            <w:gridSpan w:val="2"/>
            <w:tcBorders/>
          </w:tcPr>
          <w:p>
            <w:pPr>
              <w:pStyle w:val="Normal"/>
              <w:jc w:val="end"/>
              <w:rPr>
                <w:rFonts w:ascii="Arial" w:hAnsi="Arial" w:cs="Arial"/>
                <w:sz w:val="20"/>
              </w:rPr>
            </w:pPr>
            <w:r>
              <w:rPr>
                <w:rFonts w:cs="Arial" w:ascii="Arial" w:hAnsi="Arial"/>
                <w:sz w:val="20"/>
              </w:rPr>
              <w:t>0</w:t>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gridSpan w:val="2"/>
            <w:tcBorders/>
          </w:tcPr>
          <w:p>
            <w:pPr>
              <w:pStyle w:val="Normal"/>
              <w:jc w:val="end"/>
              <w:rPr>
                <w:rFonts w:ascii="Arial" w:hAnsi="Arial" w:cs="Arial"/>
                <w:sz w:val="20"/>
              </w:rPr>
            </w:pPr>
            <w:r>
              <w:rPr>
                <w:rFonts w:cs="Arial" w:ascii="Arial" w:hAnsi="Arial"/>
                <w:sz w:val="20"/>
              </w:rPr>
              <w:t>0</w:t>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$720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Normal"/>
              <w:snapToGrid w:val="false"/>
              <w:jc w:val="end"/>
              <w:rPr>
                <w:rFonts w:ascii="Arial" w:hAnsi="Arial" w:cs="Arial"/>
                <w:sz w:val="20"/>
              </w:rPr>
            </w:pPr>
            <w:r>
              <w:rPr>
                <w:rFonts w:cs="Arial" w:ascii="Arial" w:hAnsi="Arial"/>
                <w:sz w:val="20"/>
              </w:rPr>
            </w:r>
          </w:p>
        </w:tc>
        <w:tc>
          <w:tcPr>
            <w:tcW w:w="900" w:type="dxa"/>
            <w:gridSpan w:val="2"/>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$720</w:t>
            </w:r>
            <w:r/>
            <w:r>
              <w:rPr>
                <w:sz w:val="20"/>
                <w:rFonts w:cs="Arial" w:ascii="Arial" w:hAnsi="Arial"/>
                <w:lang w:val="en-CA" w:eastAsia="en-CA"/>
              </w:rPr>
              <w:fldChar w:fldCharType="end"/>
            </w:r>
            <w:r>
              <w:rPr>
                <w:rFonts w:cs="Arial" w:ascii="Arial" w:hAnsi="Arial"/>
                <w:sz w:val="20"/>
                <w:lang w:val="en-CA" w:eastAsia="en-CA"/>
              </w:rPr>
            </w:r>
          </w:p>
        </w:tc>
      </w:tr>
      <w:tr>
        <w:trPr>
          <w:trHeight w:val="360" w:hRule="atLeast"/>
        </w:trPr>
        <w:tc>
          <w:tcPr>
            <w:tcW w:w="5400" w:type="dxa"/>
            <w:gridSpan w:val="4"/>
            <w:tcBorders/>
          </w:tcPr>
          <w:p>
            <w:pPr>
              <w:pStyle w:val="Normal"/>
              <w:snapToGrid w:val="false"/>
              <w:rPr>
                <w:rFonts w:ascii="Arial" w:hAnsi="Arial" w:cs="Arial"/>
                <w:b/>
                <w:bCs/>
                <w:iCs/>
                <w:sz w:val="20"/>
              </w:rPr>
            </w:pPr>
            <w:r>
              <w:rPr>
                <w:rFonts w:cs="Arial" w:ascii="Arial" w:hAnsi="Arial"/>
                <w:b/>
                <w:bCs/>
                <w:iCs/>
                <w:sz w:val="20"/>
              </w:rPr>
            </w:r>
          </w:p>
        </w:tc>
        <w:tc>
          <w:tcPr>
            <w:tcW w:w="4414" w:type="dxa"/>
            <w:gridSpan w:val="2"/>
            <w:tcBorders/>
          </w:tcPr>
          <w:p>
            <w:pPr>
              <w:pStyle w:val="Normal"/>
              <w:snapToGrid w:val="false"/>
              <w:jc w:val="end"/>
              <w:rPr>
                <w:rFonts w:ascii="Arial" w:hAnsi="Arial" w:cs="Arial"/>
                <w:b/>
                <w:bCs/>
                <w:iCs/>
                <w:sz w:val="20"/>
              </w:rPr>
            </w:pPr>
            <w:r>
              <w:rPr>
                <w:rFonts w:cs="Arial" w:ascii="Arial" w:hAnsi="Arial"/>
                <w:b/>
                <w:bCs/>
                <w:iCs/>
                <w:sz w:val="20"/>
              </w:rPr>
            </w:r>
          </w:p>
        </w:tc>
        <w:tc>
          <w:tcPr>
            <w:tcW w:w="356"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sz w:val="20"/>
          <w:u w:val="single"/>
        </w:rPr>
      </w:pPr>
      <w:r>
        <w:rPr>
          <w:rFonts w:cs="Arial" w:ascii="Arial" w:hAnsi="Arial"/>
          <w:sz w:val="20"/>
          <w:u w:val="single"/>
        </w:rPr>
        <w:t>Timing of receipt of funds</w:t>
      </w:r>
    </w:p>
    <w:p>
      <w:pPr>
        <w:pStyle w:val="BodyTextIndent"/>
        <w:ind w:start="0" w:end="0"/>
        <w:rPr/>
      </w:pPr>
      <w:r>
        <w:rPr/>
        <w:t>Funds will be received approximately March 25, 2002 in accordance with normal physical transaction invoicing and payment requiments.</w:t>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tab/>
      </w:r>
      <w:r>
        <w:rPr>
          <w:rFonts w:cs="Arial" w:ascii="Arial" w:hAnsi="Arial"/>
          <w:b w:val="false"/>
          <w:bCs/>
          <w:i w:val="false"/>
          <w:iCs/>
        </w:rPr>
        <w:tab/>
        <w:tab/>
      </w:r>
      <w:r>
        <w:rPr>
          <w:rFonts w:cs="Arial" w:ascii="Arial" w:hAnsi="Arial"/>
          <w:i w:val="false"/>
          <w:iCs/>
        </w:rPr>
        <w:tab/>
      </w:r>
    </w:p>
    <w:p>
      <w:pPr>
        <w:pStyle w:val="Header"/>
        <w:widowControl/>
        <w:tabs>
          <w:tab w:val="clear" w:pos="4320"/>
          <w:tab w:val="clear" w:pos="8640"/>
          <w:tab w:val="left" w:pos="360" w:leader="none"/>
        </w:tabs>
        <w:rPr>
          <w:rFonts w:ascii="Arial" w:hAnsi="Arial" w:cs="Arial"/>
          <w:szCs w:val="24"/>
          <w:u w:val="single"/>
        </w:rPr>
      </w:pPr>
      <w:r>
        <w:rPr>
          <w:rFonts w:cs="Arial" w:ascii="Arial" w:hAnsi="Arial"/>
          <w:szCs w:val="24"/>
          <w:u w:val="single"/>
        </w:rPr>
        <w:t>Discounted Cash Flow</w:t>
      </w:r>
    </w:p>
    <w:p>
      <w:pPr>
        <w:pStyle w:val="Header"/>
        <w:widowControl/>
        <w:tabs>
          <w:tab w:val="clear" w:pos="4320"/>
          <w:tab w:val="clear" w:pos="8640"/>
          <w:tab w:val="left" w:pos="360" w:leader="none"/>
        </w:tabs>
        <w:rPr>
          <w:rFonts w:ascii="Arial" w:hAnsi="Arial" w:cs="Arial"/>
          <w:szCs w:val="24"/>
          <w:u w:val="single"/>
        </w:rPr>
      </w:pPr>
      <w:r>
        <w:rPr>
          <w:rFonts w:cs="Arial" w:ascii="Arial" w:hAnsi="Arial"/>
          <w:szCs w:val="24"/>
          <w:u w:val="single"/>
        </w:rPr>
        <w:t>Comparable Transaction</w:t>
      </w:r>
    </w:p>
    <w:p>
      <w:pPr>
        <w:pStyle w:val="Normal"/>
        <w:tabs>
          <w:tab w:val="clear" w:pos="720"/>
          <w:tab w:val="left" w:pos="360" w:leader="none"/>
        </w:tabs>
        <w:rPr>
          <w:rFonts w:ascii="Arial" w:hAnsi="Arial" w:cs="Arial"/>
          <w:sz w:val="20"/>
          <w:u w:val="single"/>
        </w:rPr>
      </w:pPr>
      <w:r>
        <w:rPr>
          <w:rFonts w:cs="Arial" w:ascii="Arial" w:hAnsi="Arial"/>
          <w:sz w:val="20"/>
          <w:u w:val="single"/>
        </w:rPr>
        <w:t>Comparable Company</w:t>
      </w:r>
    </w:p>
    <w:p>
      <w:pPr>
        <w:pStyle w:val="Header"/>
        <w:widowControl/>
        <w:tabs>
          <w:tab w:val="clear" w:pos="4320"/>
          <w:tab w:val="clear" w:pos="8640"/>
        </w:tabs>
        <w:rPr/>
      </w:pPr>
      <w:r>
        <w:rPr>
          <w:rFonts w:cs="Arial" w:ascii="Arial" w:hAnsi="Arial"/>
          <w:u w:val="single"/>
        </w:rPr>
        <w:t>Market Quotation</w:t>
      </w:r>
      <w:r>
        <w:rPr>
          <w:rFonts w:cs="Arial" w:ascii="Arial" w:hAnsi="Arial"/>
          <w:szCs w:val="24"/>
          <w:u w:val="single"/>
        </w:rPr>
        <w:t xml:space="preserve"> </w:t>
      </w:r>
    </w:p>
    <w:p>
      <w:pPr>
        <w:pStyle w:val="Header"/>
        <w:widowControl/>
        <w:tabs>
          <w:tab w:val="clear" w:pos="4320"/>
          <w:tab w:val="clear" w:pos="8640"/>
        </w:tabs>
        <w:rPr>
          <w:rFonts w:ascii="Arial" w:hAnsi="Arial" w:cs="Arial"/>
          <w:szCs w:val="24"/>
        </w:rPr>
      </w:pPr>
      <w:r>
        <w:rPr>
          <w:rFonts w:cs="Arial" w:ascii="Arial" w:hAnsi="Arial"/>
          <w:szCs w:val="24"/>
        </w:rPr>
        <w:t>Market quotes (bids) were collected from several market participants for similar packages of gas.  The data points appear below.</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Duke: $2.045/dth</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TXU $2.035/dth</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El Paso: $2.03/dth</w:t>
      </w:r>
    </w:p>
    <w:p>
      <w:pPr>
        <w:pStyle w:val="Header"/>
        <w:widowControl/>
        <w:tabs>
          <w:tab w:val="clear" w:pos="4320"/>
          <w:tab w:val="clear" w:pos="8640"/>
        </w:tabs>
        <w:rPr>
          <w:rFonts w:ascii="Arial" w:hAnsi="Arial" w:cs="Arial"/>
          <w:szCs w:val="24"/>
          <w:u w:val="single"/>
        </w:rPr>
      </w:pPr>
      <w:r>
        <w:rPr>
          <w:rFonts w:cs="Arial" w:ascii="Arial" w:hAnsi="Arial"/>
          <w:szCs w:val="24"/>
          <w:u w:val="single"/>
        </w:rPr>
      </w:r>
    </w:p>
    <w:p>
      <w:pPr>
        <w:pStyle w:val="Header"/>
        <w:widowControl/>
        <w:tabs>
          <w:tab w:val="clear" w:pos="4320"/>
          <w:tab w:val="clear" w:pos="8640"/>
        </w:tabs>
        <w:rPr>
          <w:rFonts w:ascii="Arial" w:hAnsi="Arial" w:cs="Arial"/>
          <w:u w:val="single"/>
        </w:rPr>
      </w:pPr>
      <w:r>
        <w:rPr>
          <w:rFonts w:cs="Arial" w:ascii="Arial" w:hAnsi="Arial"/>
          <w:u w:val="single"/>
        </w:rPr>
        <w:t>GAAP and tax gain or loss</w:t>
      </w:r>
    </w:p>
    <w:p>
      <w:pPr>
        <w:pStyle w:val="Header"/>
        <w:widowControl/>
        <w:tabs>
          <w:tab w:val="clear" w:pos="4320"/>
          <w:tab w:val="clear" w:pos="8640"/>
        </w:tabs>
        <w:rPr>
          <w:rFonts w:ascii="Arial" w:hAnsi="Arial" w:cs="Arial"/>
          <w:u w:val="single"/>
        </w:rPr>
      </w:pPr>
      <w:r>
        <w:rPr>
          <w:rFonts w:cs="Arial" w:ascii="Arial" w:hAnsi="Arial"/>
          <w:u w:val="single"/>
        </w:rPr>
        <w:t>Historical valuation history (graphical or narrative)</w:t>
      </w:r>
    </w:p>
    <w:p>
      <w:pPr>
        <w:pStyle w:val="Header"/>
        <w:widowControl/>
        <w:tabs>
          <w:tab w:val="clear" w:pos="4320"/>
          <w:tab w:val="clear" w:pos="8640"/>
          <w:tab w:val="left" w:pos="360" w:leader="none"/>
        </w:tabs>
        <w:rPr>
          <w:rFonts w:ascii="Arial" w:hAnsi="Arial" w:cs="Arial"/>
          <w:szCs w:val="24"/>
          <w:u w:val="single"/>
        </w:rPr>
      </w:pPr>
      <w:r>
        <w:rPr>
          <w:rFonts w:cs="Arial" w:ascii="Arial" w:hAnsi="Arial"/>
          <w:szCs w:val="24"/>
          <w:u w:val="single"/>
        </w:rPr>
        <w:t>Conclusion</w:t>
      </w:r>
    </w:p>
    <w:p>
      <w:pPr>
        <w:pStyle w:val="Normal"/>
        <w:rPr>
          <w:rFonts w:ascii="Arial" w:hAnsi="Arial" w:cs="Arial"/>
          <w:sz w:val="20"/>
          <w:szCs w:val="24"/>
          <w:u w:val="single"/>
        </w:rPr>
      </w:pPr>
      <w:r>
        <w:rPr>
          <w:rFonts w:cs="Arial" w:ascii="Arial" w:hAnsi="Arial"/>
          <w:sz w:val="20"/>
          <w:szCs w:val="24"/>
          <w:u w:val="single"/>
        </w:rPr>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r>
        <w:rPr>
          <w:rFonts w:cs="Arial" w:ascii="Arial" w:hAnsi="Arial"/>
          <w:b w:val="false"/>
          <w:bCs/>
        </w:rPr>
        <w:t>(only if proceeds not 100% cash at closing)</w:t>
      </w:r>
    </w:p>
    <w:p>
      <w:pPr>
        <w:pStyle w:val="Normal"/>
        <w:rPr>
          <w:rFonts w:ascii="Arial" w:hAnsi="Arial" w:cs="Arial"/>
          <w:sz w:val="20"/>
        </w:rPr>
      </w:pPr>
      <w:r>
        <w:rPr>
          <w:rFonts w:cs="Arial" w:ascii="Arial" w:hAnsi="Arial"/>
          <w:sz w:val="20"/>
        </w:rPr>
        <w:t>See “Timing of receipt of funds” above.</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 xml:space="preserve">Market Risk: Storage inventory is not hedged.  Therefore, valuation is continually changing.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Selling the gas will lock the value.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 Entex receivable for ENA’s  Dec01 through Mar02 invoices.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2"/>
        <w:pBdr>
          <w:top w:val="single" w:sz="8" w:space="1" w:color="000000"/>
        </w:pBdr>
        <w:ind w:hanging="0" w:start="0"/>
        <w:rPr/>
      </w:pPr>
      <w:r>
        <w:rPr>
          <w:rFonts w:cs="Arial" w:ascii="Arial" w:hAnsi="Arial"/>
          <w:i w:val="false"/>
          <w:iCs/>
        </w:rPr>
        <w:t xml:space="preserve">LEGAL RISK MEMO </w:t>
      </w:r>
      <w:r>
        <w:rPr>
          <w:rFonts w:cs="Arial" w:ascii="Arial" w:hAnsi="Arial"/>
          <w:b w:val="false"/>
          <w:bCs/>
          <w:i w:val="false"/>
          <w:iCs/>
        </w:rPr>
        <w:t>(Attach)</w:t>
      </w:r>
    </w:p>
    <w:p>
      <w:pPr>
        <w:pStyle w:val="Normal"/>
        <w:rPr/>
      </w:pPr>
      <w:r>
        <w:rPr/>
        <w:t>Kay Mann</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4"/>
        </w:numPr>
        <w:rPr>
          <w:rFonts w:ascii="Arial" w:hAnsi="Arial" w:cs="Arial"/>
          <w:bCs/>
          <w:sz w:val="20"/>
        </w:rPr>
      </w:pPr>
      <w:r>
        <w:rPr>
          <w:rFonts w:cs="Arial" w:ascii="Arial" w:hAnsi="Arial"/>
          <w:bCs/>
          <w:sz w:val="20"/>
        </w:rPr>
        <w:t>Creditors Committee Advisor’s Review</w:t>
      </w:r>
    </w:p>
    <w:p>
      <w:pPr>
        <w:pStyle w:val="Normal"/>
        <w:numPr>
          <w:ilvl w:val="0"/>
          <w:numId w:val="4"/>
        </w:numPr>
        <w:rPr>
          <w:rFonts w:ascii="Arial" w:hAnsi="Arial" w:cs="Arial"/>
          <w:bCs/>
          <w:sz w:val="20"/>
        </w:rPr>
      </w:pPr>
      <w:r>
        <w:rPr>
          <w:rFonts w:cs="Arial" w:ascii="Arial" w:hAnsi="Arial"/>
          <w:bCs/>
          <w:sz w:val="20"/>
        </w:rPr>
        <w:t>Creditors Committee/Bankruptcy Court Approval</w:t>
      </w:r>
    </w:p>
    <w:p>
      <w:pPr>
        <w:pStyle w:val="Normal"/>
        <w:numPr>
          <w:ilvl w:val="0"/>
          <w:numId w:val="4"/>
        </w:numPr>
        <w:rPr>
          <w:rFonts w:ascii="Arial" w:hAnsi="Arial" w:cs="Arial"/>
          <w:bCs/>
          <w:sz w:val="20"/>
        </w:rPr>
      </w:pPr>
      <w:r>
        <w:rPr>
          <w:rFonts w:cs="Arial" w:ascii="Arial" w:hAnsi="Arial"/>
          <w:bCs/>
          <w:sz w:val="20"/>
        </w:rPr>
        <w:t>Other Approvals</w:t>
      </w:r>
    </w:p>
    <w:p>
      <w:pPr>
        <w:pStyle w:val="Normal"/>
        <w:numPr>
          <w:ilvl w:val="0"/>
          <w:numId w:val="4"/>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BodyText2"/>
        <w:rPr/>
      </w:pPr>
      <w:r>
        <w:rPr/>
        <w:t>Provide invoices for January and February 2002 service.  The February invoice should incorporate the Feb. 8, 2002 storage ending balance.</w:t>
      </w:r>
    </w:p>
    <w:p>
      <w:pPr>
        <w:pStyle w:val="Normal"/>
        <w:rPr>
          <w:rFonts w:ascii="Arial" w:hAnsi="Arial" w:cs="Arial"/>
          <w:b/>
          <w:sz w:val="20"/>
        </w:rPr>
      </w:pPr>
      <w:r>
        <w:rPr>
          <w:rFonts w:cs="Arial" w:ascii="Arial" w:hAnsi="Arial"/>
          <w:b/>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6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eastAsia="Arial" w:cs="Arial"/>
                <w:sz w:val="20"/>
              </w:rPr>
            </w:pPr>
            <w:r>
              <w:rPr>
                <w:rFonts w:eastAsia="Arial" w:cs="Arial" w:ascii="Arial" w:hAnsi="Arial"/>
                <w:sz w:val="20"/>
              </w:rPr>
              <w:t xml:space="preserv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3"/>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Enron Entities’ Estates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C:\Gas Structuring\Bankruptcy\Entex\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TerminationDASH.doc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sz w:val="16"/>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
    <w:name w:val="Body Text Indent"/>
    <w:basedOn w:val="Normal"/>
    <w:pPr>
      <w:ind w:hanging="0" w:start="720" w:end="0"/>
    </w:pPr>
    <w:rPr>
      <w:rFonts w:ascii="Arial" w:hAnsi="Arial" w:cs="Arial"/>
      <w:sz w:val="20"/>
    </w:rPr>
  </w:style>
  <w:style w:type="paragraph" w:styleId="BodyTextIndent2">
    <w:name w:val="Body Text Indent 2"/>
    <w:basedOn w:val="Normal"/>
    <w:qFormat/>
    <w:pPr>
      <w:ind w:hanging="0" w:start="720" w:end="0"/>
    </w:pPr>
    <w:rPr/>
  </w:style>
  <w:style w:type="paragraph" w:styleId="BodyText2">
    <w:name w:val="Body Text 2"/>
    <w:basedOn w:val="Normal"/>
    <w:qFormat/>
    <w:pPr/>
    <w:rPr>
      <w:rFonts w:ascii="Arial" w:hAnsi="Arial" w:cs="Arial"/>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2002-02-06T14:25:00Z</dcterms:created>
  <dc:creator>kjolly</dc:creator>
  <dc:description>V3.3
Updated to add filename to headers
</dc:description>
  <dc:language>en-CA</dc:language>
  <cp:lastModifiedBy>Louis R. DiCarlo</cp:lastModifiedBy>
  <cp:lastPrinted>2002-02-06T10:53:00Z</cp:lastPrinted>
  <dcterms:modified xsi:type="dcterms:W3CDTF">2002-02-06T17:28:00Z</dcterms:modified>
  <cp:revision>8</cp:revision>
  <dc:subject/>
  <dc:title>ENRON RISK ASSESSMENT AND CONTROL</dc:title>
</cp:coreProperties>
</file>