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Terms sheet for Storage Gas Agreement</w:t>
      </w:r>
    </w:p>
    <w:p>
      <w:pPr>
        <w:pStyle w:val="Normal"/>
        <w:spacing w:before="0" w:after="120"/>
        <w:rPr>
          <w:rFonts w:ascii="Bookman Old Style" w:hAnsi="Bookman Old Style" w:cs="Bookman Old Style"/>
        </w:rPr>
      </w:pPr>
      <w:r>
        <w:rPr>
          <w:rFonts w:cs="Bookman Old Style" w:ascii="Bookman Old Style" w:hAnsi="Bookman Old Style"/>
        </w:rPr>
      </w:r>
    </w:p>
    <w:tbl>
      <w:tblPr>
        <w:tblW w:w="9540" w:type="dxa"/>
        <w:jc w:val="start"/>
        <w:tblInd w:w="-612" w:type="dxa"/>
        <w:tblLayout w:type="fixed"/>
        <w:tblCellMar>
          <w:top w:w="0" w:type="dxa"/>
          <w:start w:w="108" w:type="dxa"/>
          <w:bottom w:w="0" w:type="dxa"/>
          <w:end w:w="108" w:type="dxa"/>
        </w:tblCellMar>
      </w:tblPr>
      <w:tblGrid>
        <w:gridCol w:w="1908"/>
        <w:gridCol w:w="7632"/>
      </w:tblGrid>
      <w:tr>
        <w:trPr>
          <w:tblHeader w:val="true"/>
        </w:trPr>
        <w:tc>
          <w:tcPr>
            <w:tcW w:w="1908" w:type="dxa"/>
            <w:tcBorders/>
          </w:tcPr>
          <w:p>
            <w:pPr>
              <w:pStyle w:val="Normal"/>
              <w:spacing w:before="0" w:after="120"/>
              <w:rPr>
                <w:rFonts w:ascii="Bookman Old Style" w:hAnsi="Bookman Old Style" w:cs="Bookman Old Style"/>
                <w:b/>
                <w:u w:val="single"/>
              </w:rPr>
            </w:pPr>
            <w:r>
              <w:rPr>
                <w:rFonts w:cs="Bookman Old Style" w:ascii="Bookman Old Style" w:hAnsi="Bookman Old Style"/>
                <w:b/>
                <w:u w:val="single"/>
              </w:rPr>
              <w:t>TERM</w:t>
            </w:r>
          </w:p>
        </w:tc>
        <w:tc>
          <w:tcPr>
            <w:tcW w:w="7632" w:type="dxa"/>
            <w:tcBorders/>
          </w:tcPr>
          <w:p>
            <w:pPr>
              <w:pStyle w:val="Normal"/>
              <w:spacing w:before="0" w:after="120"/>
              <w:rPr>
                <w:rFonts w:ascii="Bookman Old Style" w:hAnsi="Bookman Old Style" w:cs="Bookman Old Style"/>
                <w:b/>
                <w:u w:val="single"/>
              </w:rPr>
            </w:pPr>
            <w:r>
              <w:rPr>
                <w:rFonts w:cs="Bookman Old Style" w:ascii="Bookman Old Style" w:hAnsi="Bookman Old Style"/>
                <w:b/>
                <w:u w:val="single"/>
              </w:rPr>
              <w:t>CONDITION</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Parties</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Peoples Energy (Seller) and SPV (Buyer)</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Amount of Gas to be sold/ Purchase Day</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[30,000,000] MMbtu to be delivered as per a pre-determined schedule, each day a Purchase Day (which will take into consideration the physical capabilities of the storage facilities)</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Price of Gas</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$[3.50] per MMBtu</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Total Payment</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 ] million</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Warranty of Title and Quality</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Seller warrants that they have title to gas and conforms with the quality specifications to be transported</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Delivery</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On each Purchase Date, the SPV shall be deemed to have taken delivery of the Storage Gas</w:t>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bl>
    <w:p>
      <w:pPr>
        <w:pStyle w:val="Normal"/>
        <w:rPr>
          <w:rFonts w:ascii="Bookman Old Style" w:hAnsi="Bookman Old Style" w:cs="Bookman Old Style"/>
        </w:rPr>
      </w:pPr>
      <w:r>
        <w:rPr>
          <w:rFonts w:cs="Bookman Old Style" w:ascii="Bookman Old Style" w:hAnsi="Bookman Old Style"/>
        </w:rPr>
      </w:r>
    </w:p>
    <w:p>
      <w:pPr>
        <w:pStyle w:val="Heading2"/>
        <w:ind w:hanging="0" w:start="0"/>
        <w:rPr>
          <w:sz w:val="24"/>
        </w:rPr>
      </w:pPr>
      <w:r>
        <w:rPr>
          <w:sz w:val="24"/>
        </w:rPr>
        <w:t>PURCHASE SCHEDULE</w:t>
      </w:r>
    </w:p>
    <w:p>
      <w:pPr>
        <w:pStyle w:val="Normal"/>
        <w:jc w:val="center"/>
        <w:rPr>
          <w:rFonts w:ascii="Bookman Old Style" w:hAnsi="Bookman Old Style" w:cs="Bookman Old Style"/>
          <w:sz w:val="24"/>
        </w:rPr>
      </w:pPr>
      <w:r>
        <w:rPr>
          <w:rFonts w:cs="Bookman Old Style" w:ascii="Bookman Old Style" w:hAnsi="Bookman Old Style"/>
          <w:sz w:val="24"/>
        </w:rPr>
      </w:r>
    </w:p>
    <w:tbl>
      <w:tblPr>
        <w:tblW w:w="4770" w:type="dxa"/>
        <w:jc w:val="start"/>
        <w:tblInd w:w="2088" w:type="dxa"/>
        <w:tblLayout w:type="fixed"/>
        <w:tblCellMar>
          <w:top w:w="0" w:type="dxa"/>
          <w:start w:w="108" w:type="dxa"/>
          <w:bottom w:w="0" w:type="dxa"/>
          <w:end w:w="108" w:type="dxa"/>
        </w:tblCellMar>
      </w:tblPr>
      <w:tblGrid>
        <w:gridCol w:w="2070"/>
        <w:gridCol w:w="2700"/>
      </w:tblGrid>
      <w:tr>
        <w:trPr>
          <w:trHeight w:val="450" w:hRule="atLeast"/>
        </w:trPr>
        <w:tc>
          <w:tcPr>
            <w:tcW w:w="2070" w:type="dxa"/>
            <w:tcBorders>
              <w:top w:val="doub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b/>
                <w:caps/>
              </w:rPr>
            </w:pPr>
            <w:r>
              <w:rPr>
                <w:rFonts w:cs="Bookman Old Style" w:ascii="Bookman Old Style" w:hAnsi="Bookman Old Style"/>
                <w:b/>
              </w:rPr>
              <w:t>Month</w:t>
            </w:r>
          </w:p>
        </w:tc>
        <w:tc>
          <w:tcPr>
            <w:tcW w:w="2700" w:type="dxa"/>
            <w:tcBorders>
              <w:top w:val="double" w:sz="6" w:space="0" w:color="000000"/>
              <w:start w:val="single" w:sz="6" w:space="0" w:color="000000"/>
              <w:bottom w:val="single" w:sz="6" w:space="0" w:color="000000"/>
              <w:end w:val="double" w:sz="6" w:space="0" w:color="000000"/>
            </w:tcBorders>
          </w:tcPr>
          <w:p>
            <w:pPr>
              <w:pStyle w:val="Normal"/>
              <w:rPr>
                <w:rFonts w:ascii="Bookman Old Style" w:hAnsi="Bookman Old Style" w:cs="Bookman Old Style"/>
                <w:b/>
                <w:caps/>
              </w:rPr>
            </w:pPr>
            <w:r>
              <w:rPr>
                <w:rFonts w:cs="Bookman Old Style" w:ascii="Bookman Old Style" w:hAnsi="Bookman Old Style"/>
                <w:b/>
              </w:rPr>
              <w:t>Volume In Mmbtus</w:t>
            </w:r>
          </w:p>
        </w:tc>
      </w:tr>
      <w:tr>
        <w:trPr/>
        <w:tc>
          <w:tcPr>
            <w:tcW w:w="2070" w:type="dxa"/>
            <w:tcBorders>
              <w:top w:val="single" w:sz="6" w:space="0" w:color="000000"/>
              <w:start w:val="double" w:sz="6" w:space="0" w:color="000000"/>
              <w:bottom w:val="single" w:sz="6" w:space="0" w:color="000000"/>
              <w:end w:val="single" w:sz="6" w:space="0" w:color="000000"/>
            </w:tcBorders>
          </w:tcPr>
          <w:p>
            <w:pPr>
              <w:pStyle w:val="FootnoteText"/>
              <w:rPr>
                <w:rFonts w:ascii="Bookman Old Style" w:hAnsi="Bookman Old Style" w:cs="Bookman Old Style"/>
              </w:rPr>
            </w:pPr>
            <w:r>
              <w:rPr>
                <w:rFonts w:cs="Bookman Old Style" w:ascii="Bookman Old Style" w:hAnsi="Bookman Old Style"/>
              </w:rPr>
              <w:t>Jan 2001</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Feb 2001</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Mar 2001</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Apr 2001</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May 2001</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doub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Jun 2001</w:t>
            </w:r>
          </w:p>
        </w:tc>
        <w:tc>
          <w:tcPr>
            <w:tcW w:w="270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bl>
    <w:p>
      <w:pPr>
        <w:pStyle w:val="Normal"/>
        <w:rPr>
          <w:rFonts w:ascii="Bookman Old Style" w:hAnsi="Bookman Old Style" w:cs="Bookman Old Style"/>
        </w:rPr>
      </w:pPr>
      <w:r>
        <w:rPr>
          <w:rFonts w:cs="Bookman Old Style" w:ascii="Bookman Old Style" w:hAnsi="Bookman Old Style"/>
        </w:rPr>
      </w:r>
      <w:r>
        <w:br w:type="page"/>
      </w:r>
    </w:p>
    <w:p>
      <w:pPr>
        <w:pStyle w:val="Heading"/>
        <w:rPr/>
      </w:pPr>
      <w:r>
        <w:rPr/>
        <w:t>Terms sheet for Cushion Gas Agreement</w:t>
      </w:r>
    </w:p>
    <w:p>
      <w:pPr>
        <w:pStyle w:val="Normal"/>
        <w:rPr>
          <w:rFonts w:ascii="Bookman Old Style" w:hAnsi="Bookman Old Style" w:cs="Bookman Old Style"/>
        </w:rPr>
      </w:pPr>
      <w:r>
        <w:rPr>
          <w:rFonts w:cs="Bookman Old Style" w:ascii="Bookman Old Style" w:hAnsi="Bookman Old Style"/>
        </w:rPr>
      </w:r>
    </w:p>
    <w:tbl>
      <w:tblPr>
        <w:tblW w:w="9540" w:type="dxa"/>
        <w:jc w:val="start"/>
        <w:tblInd w:w="-612" w:type="dxa"/>
        <w:tblLayout w:type="fixed"/>
        <w:tblCellMar>
          <w:top w:w="0" w:type="dxa"/>
          <w:start w:w="108" w:type="dxa"/>
          <w:bottom w:w="0" w:type="dxa"/>
          <w:end w:w="108" w:type="dxa"/>
        </w:tblCellMar>
      </w:tblPr>
      <w:tblGrid>
        <w:gridCol w:w="1908"/>
        <w:gridCol w:w="7632"/>
      </w:tblGrid>
      <w:tr>
        <w:trPr>
          <w:tblHeader w:val="true"/>
        </w:trPr>
        <w:tc>
          <w:tcPr>
            <w:tcW w:w="1908" w:type="dxa"/>
            <w:tcBorders/>
          </w:tcPr>
          <w:p>
            <w:pPr>
              <w:pStyle w:val="Normal"/>
              <w:spacing w:before="0" w:after="120"/>
              <w:rPr>
                <w:rFonts w:ascii="Bookman Old Style" w:hAnsi="Bookman Old Style" w:cs="Bookman Old Style"/>
                <w:b/>
                <w:u w:val="single"/>
              </w:rPr>
            </w:pPr>
            <w:r>
              <w:rPr>
                <w:rFonts w:cs="Bookman Old Style" w:ascii="Bookman Old Style" w:hAnsi="Bookman Old Style"/>
                <w:b/>
                <w:u w:val="single"/>
              </w:rPr>
              <w:t>TERM</w:t>
            </w:r>
          </w:p>
        </w:tc>
        <w:tc>
          <w:tcPr>
            <w:tcW w:w="7632" w:type="dxa"/>
            <w:tcBorders/>
          </w:tcPr>
          <w:p>
            <w:pPr>
              <w:pStyle w:val="Normal"/>
              <w:spacing w:before="0" w:after="120"/>
              <w:rPr>
                <w:rFonts w:ascii="Bookman Old Style" w:hAnsi="Bookman Old Style" w:cs="Bookman Old Style"/>
                <w:b/>
                <w:u w:val="single"/>
              </w:rPr>
            </w:pPr>
            <w:r>
              <w:rPr>
                <w:rFonts w:cs="Bookman Old Style" w:ascii="Bookman Old Style" w:hAnsi="Bookman Old Style"/>
                <w:b/>
                <w:u w:val="single"/>
              </w:rPr>
              <w:t>CONDITION</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Parties</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Trustee and Peoples Energy (Peoples)</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Storage Gas</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The Storage Gas will be located in the Manlove Facility (Storage Facility).  Trustee agrees to keep the Storage Gas at the Storage Facility during the Specified Term and Peoples Energy agrees that the Storage Gas will be held by them for the account of the Trustee until such time as the Storage Gas is withdrawn [or deemed to have been withdrawn] pursuant to this Term Sheet</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Withdrawal of Storage Gas</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Trustee shall not withdraw any of the Storage Gas prior to the dates specified in the Withdrawal Schedule.</w:t>
            </w:r>
          </w:p>
          <w:p>
            <w:pPr>
              <w:pStyle w:val="Normal"/>
              <w:spacing w:before="0" w:after="120"/>
              <w:rPr>
                <w:rFonts w:ascii="Bookman Old Style" w:hAnsi="Bookman Old Style" w:cs="Bookman Old Style"/>
              </w:rPr>
            </w:pPr>
            <w:r>
              <w:rPr>
                <w:rFonts w:cs="Bookman Old Style" w:ascii="Bookman Old Style" w:hAnsi="Bookman Old Style"/>
              </w:rPr>
              <w:t xml:space="preserve">On the dates specified in the Withdrawal Schedule, Peoples shall on behalf of the Trustee </w:t>
            </w:r>
          </w:p>
          <w:p>
            <w:pPr>
              <w:pStyle w:val="Normal"/>
              <w:numPr>
                <w:ilvl w:val="0"/>
                <w:numId w:val="2"/>
              </w:numPr>
              <w:spacing w:before="0" w:after="120"/>
              <w:rPr>
                <w:rFonts w:ascii="Bookman Old Style" w:hAnsi="Bookman Old Style" w:cs="Bookman Old Style"/>
              </w:rPr>
            </w:pPr>
            <w:r>
              <w:rPr>
                <w:rFonts w:cs="Bookman Old Style" w:ascii="Bookman Old Style" w:hAnsi="Bookman Old Style"/>
              </w:rPr>
              <w:t xml:space="preserve">Withdraw Storage Gas from the Storage Facility in the quantities specified in the Withdrawal Schedule; </w:t>
            </w:r>
          </w:p>
          <w:p>
            <w:pPr>
              <w:pStyle w:val="Normal"/>
              <w:numPr>
                <w:ilvl w:val="0"/>
                <w:numId w:val="2"/>
              </w:numPr>
              <w:spacing w:before="0" w:after="120"/>
              <w:rPr>
                <w:rFonts w:ascii="Bookman Old Style" w:hAnsi="Bookman Old Style" w:cs="Bookman Old Style"/>
              </w:rPr>
            </w:pPr>
            <w:r>
              <w:rPr>
                <w:rFonts w:cs="Bookman Old Style" w:ascii="Bookman Old Style" w:hAnsi="Bookman Old Style"/>
              </w:rPr>
              <w:t xml:space="preserve">Transport such storage gas to the Points of Delivery; </w:t>
            </w:r>
          </w:p>
          <w:p>
            <w:pPr>
              <w:pStyle w:val="Normal"/>
              <w:numPr>
                <w:ilvl w:val="0"/>
                <w:numId w:val="2"/>
              </w:numPr>
              <w:spacing w:before="0" w:after="120"/>
              <w:rPr>
                <w:rFonts w:ascii="Bookman Old Style" w:hAnsi="Bookman Old Style" w:cs="Bookman Old Style"/>
              </w:rPr>
            </w:pPr>
            <w:r>
              <w:rPr>
                <w:rFonts w:cs="Bookman Old Style" w:ascii="Bookman Old Style" w:hAnsi="Bookman Old Style"/>
              </w:rPr>
              <w:t xml:space="preserve">Release such Storage Gas from the custody of Peoples and </w:t>
            </w:r>
          </w:p>
          <w:p>
            <w:pPr>
              <w:pStyle w:val="Normal"/>
              <w:numPr>
                <w:ilvl w:val="0"/>
                <w:numId w:val="2"/>
              </w:numPr>
              <w:spacing w:before="0" w:after="120"/>
              <w:rPr>
                <w:rFonts w:ascii="Bookman Old Style" w:hAnsi="Bookman Old Style" w:cs="Bookman Old Style"/>
              </w:rPr>
            </w:pPr>
            <w:r>
              <w:rPr>
                <w:rFonts w:cs="Bookman Old Style" w:ascii="Bookman Old Style" w:hAnsi="Bookman Old Style"/>
              </w:rPr>
              <w:t>Transfer custody at the Point of Delivery.</w:t>
            </w:r>
          </w:p>
          <w:p>
            <w:pPr>
              <w:pStyle w:val="Normal"/>
              <w:spacing w:before="0" w:after="120"/>
              <w:rPr>
                <w:rFonts w:ascii="Bookman Old Style" w:hAnsi="Bookman Old Style" w:cs="Bookman Old Style"/>
              </w:rPr>
            </w:pPr>
            <w:r>
              <w:rPr>
                <w:rFonts w:cs="Bookman Old Style" w:ascii="Bookman Old Style" w:hAnsi="Bookman Old Style"/>
              </w:rPr>
            </w:r>
          </w:p>
          <w:p>
            <w:pPr>
              <w:pStyle w:val="Normal"/>
              <w:spacing w:before="0" w:after="120"/>
              <w:rPr>
                <w:rFonts w:ascii="Bookman Old Style" w:hAnsi="Bookman Old Style" w:cs="Bookman Old Style"/>
              </w:rPr>
            </w:pPr>
            <w:r>
              <w:rPr>
                <w:rFonts w:cs="Bookman Old Style" w:ascii="Bookman Old Style" w:hAnsi="Bookman Old Style"/>
              </w:rPr>
              <w:t>[NO MENTION OF EXCHANGE GAS]</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Fees and Demand Charge</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On the last business day of each month Peoples will pay to the Trustee the Pressurization Fee and the Demand Charge.</w:t>
            </w:r>
          </w:p>
          <w:p>
            <w:pPr>
              <w:pStyle w:val="Normal"/>
              <w:spacing w:before="0" w:after="120"/>
              <w:rPr>
                <w:rFonts w:ascii="Bookman Old Style" w:hAnsi="Bookman Old Style" w:cs="Bookman Old Style"/>
              </w:rPr>
            </w:pPr>
            <w:r>
              <w:rPr>
                <w:rFonts w:cs="Bookman Old Style" w:ascii="Bookman Old Style" w:hAnsi="Bookman Old Style"/>
              </w:rPr>
              <w:t>The Pressurization Fee will be [ ] cents/MMBtu</w:t>
            </w:r>
          </w:p>
          <w:p>
            <w:pPr>
              <w:pStyle w:val="Normal"/>
              <w:spacing w:before="0" w:after="120"/>
              <w:rPr>
                <w:rFonts w:ascii="Bookman Old Style" w:hAnsi="Bookman Old Style" w:cs="Bookman Old Style"/>
              </w:rPr>
            </w:pPr>
            <w:r>
              <w:rPr>
                <w:rFonts w:cs="Bookman Old Style" w:ascii="Bookman Old Style" w:hAnsi="Bookman Old Style"/>
              </w:rPr>
              <w:t>[Demand Charge will be $[ ] per month]</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Covenants of Peoples</w:t>
            </w:r>
          </w:p>
        </w:tc>
        <w:tc>
          <w:tcPr>
            <w:tcW w:w="7632" w:type="dxa"/>
            <w:tcBorders/>
          </w:tcPr>
          <w:p>
            <w:pPr>
              <w:pStyle w:val="Normal"/>
              <w:spacing w:before="0" w:after="120"/>
              <w:rPr>
                <w:rFonts w:ascii="Bookman Old Style" w:hAnsi="Bookman Old Style" w:cs="Bookman Old Style"/>
              </w:rPr>
            </w:pPr>
            <w:r>
              <w:rPr>
                <w:rFonts w:cs="Bookman Old Style" w:ascii="Bookman Old Style" w:hAnsi="Bookman Old Style"/>
              </w:rPr>
              <w:t>While the gas is in the custody and control of Peoples, Peoples will:</w:t>
            </w:r>
          </w:p>
          <w:p>
            <w:pPr>
              <w:pStyle w:val="Normal"/>
              <w:numPr>
                <w:ilvl w:val="0"/>
                <w:numId w:val="3"/>
              </w:numPr>
              <w:spacing w:before="0" w:after="120"/>
              <w:rPr>
                <w:rFonts w:ascii="Bookman Old Style" w:hAnsi="Bookman Old Style" w:cs="Bookman Old Style"/>
              </w:rPr>
            </w:pPr>
            <w:r>
              <w:rPr>
                <w:rFonts w:cs="Bookman Old Style" w:ascii="Bookman Old Style" w:hAnsi="Bookman Old Style"/>
              </w:rPr>
              <w:t>Unconditionally assume responsibility for any loss of Gas</w:t>
            </w:r>
          </w:p>
          <w:p>
            <w:pPr>
              <w:pStyle w:val="Normal"/>
              <w:numPr>
                <w:ilvl w:val="0"/>
                <w:numId w:val="3"/>
              </w:numPr>
              <w:spacing w:before="0" w:after="120"/>
              <w:rPr>
                <w:rFonts w:ascii="Bookman Old Style" w:hAnsi="Bookman Old Style" w:cs="Bookman Old Style"/>
              </w:rPr>
            </w:pPr>
            <w:r>
              <w:rPr>
                <w:rFonts w:cs="Bookman Old Style" w:ascii="Bookman Old Style" w:hAnsi="Bookman Old Style"/>
              </w:rPr>
              <w:t>Indemnify the Trust against any claims for damages caused by the Gas or to the storage and handling thereof</w:t>
            </w:r>
          </w:p>
          <w:p>
            <w:pPr>
              <w:pStyle w:val="Normal"/>
              <w:numPr>
                <w:ilvl w:val="0"/>
                <w:numId w:val="3"/>
              </w:numPr>
              <w:spacing w:before="0" w:after="120"/>
              <w:rPr>
                <w:rFonts w:ascii="Bookman Old Style" w:hAnsi="Bookman Old Style" w:cs="Bookman Old Style"/>
              </w:rPr>
            </w:pPr>
            <w:r>
              <w:rPr>
                <w:rFonts w:cs="Bookman Old Style" w:ascii="Bookman Old Style" w:hAnsi="Bookman Old Style"/>
              </w:rPr>
              <w:t>Insure, with Peoples current insurers, against all insurable risks associated with the ownership and use of the Storage Facity and the possession and use of the Gas, to the extent available on commercially reasonable terms</w:t>
            </w:r>
          </w:p>
          <w:p>
            <w:pPr>
              <w:pStyle w:val="Normal"/>
              <w:numPr>
                <w:ilvl w:val="0"/>
                <w:numId w:val="3"/>
              </w:numPr>
              <w:spacing w:before="0" w:after="120"/>
              <w:rPr>
                <w:rFonts w:ascii="Bookman Old Style" w:hAnsi="Bookman Old Style" w:cs="Bookman Old Style"/>
              </w:rPr>
            </w:pPr>
            <w:r>
              <w:rPr>
                <w:rFonts w:cs="Bookman Old Style" w:ascii="Bookman Old Style" w:hAnsi="Bookman Old Style"/>
              </w:rPr>
              <w:t>pay, on behalf of the Trust, all ad valorem taxes imposed on the Gas,</w:t>
            </w:r>
          </w:p>
          <w:p>
            <w:pPr>
              <w:pStyle w:val="Normal"/>
              <w:numPr>
                <w:ilvl w:val="0"/>
                <w:numId w:val="3"/>
              </w:numPr>
              <w:spacing w:before="0" w:after="120"/>
              <w:rPr>
                <w:rFonts w:ascii="Bookman Old Style" w:hAnsi="Bookman Old Style" w:cs="Bookman Old Style"/>
              </w:rPr>
            </w:pPr>
            <w:r>
              <w:rPr>
                <w:rFonts w:cs="Bookman Old Style" w:ascii="Bookman Old Style" w:hAnsi="Bookman Old Style"/>
              </w:rPr>
              <w:t>keep the Gas free from any liens other than liens granted by the Trust</w:t>
            </w:r>
          </w:p>
        </w:tc>
      </w:tr>
      <w:tr>
        <w:trPr/>
        <w:tc>
          <w:tcPr>
            <w:tcW w:w="1908" w:type="dxa"/>
            <w:tcBorders/>
          </w:tcPr>
          <w:p>
            <w:pPr>
              <w:pStyle w:val="Normal"/>
              <w:spacing w:before="0" w:after="120"/>
              <w:rPr>
                <w:rFonts w:ascii="Bookman Old Style" w:hAnsi="Bookman Old Style" w:cs="Bookman Old Style"/>
              </w:rPr>
            </w:pPr>
            <w:r>
              <w:rPr>
                <w:rFonts w:cs="Bookman Old Style" w:ascii="Bookman Old Style" w:hAnsi="Bookman Old Style"/>
              </w:rPr>
              <w:t>Liquidated Damages</w:t>
            </w:r>
          </w:p>
        </w:tc>
        <w:tc>
          <w:tcPr>
            <w:tcW w:w="7632" w:type="dxa"/>
            <w:tcBorders/>
          </w:tcPr>
          <w:p>
            <w:pPr>
              <w:pStyle w:val="Normal"/>
              <w:spacing w:before="0" w:after="120"/>
              <w:rPr/>
            </w:pPr>
            <w:r>
              <w:rPr>
                <w:rFonts w:cs="Bookman Old Style" w:ascii="Bookman Old Style" w:hAnsi="Bookman Old Style"/>
              </w:rPr>
              <w:t>To the extent that Peoples withdraws to gas early or there is a termination of the agreement as a result of a default, liquidated damages</w:t>
            </w:r>
            <w:r>
              <w:rPr>
                <w:rStyle w:val="FootnoteCharacters"/>
                <w:rStyle w:val="FootnoteReference"/>
                <w:rFonts w:cs="Bookman Old Style" w:ascii="Bookman Old Style" w:hAnsi="Bookman Old Style"/>
              </w:rPr>
              <w:footnoteReference w:id="2"/>
            </w:r>
            <w:r>
              <w:rPr>
                <w:rFonts w:cs="Bookman Old Style" w:ascii="Bookman Old Style" w:hAnsi="Bookman Old Style"/>
              </w:rPr>
              <w:t xml:space="preserve"> will be payable under this agreement. </w:t>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r>
        <w:trPr/>
        <w:tc>
          <w:tcPr>
            <w:tcW w:w="1908"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c>
          <w:tcPr>
            <w:tcW w:w="7632" w:type="dxa"/>
            <w:tcBorders/>
          </w:tcPr>
          <w:p>
            <w:pPr>
              <w:pStyle w:val="Normal"/>
              <w:snapToGrid w:val="false"/>
              <w:spacing w:before="0" w:after="120"/>
              <w:rPr>
                <w:rFonts w:ascii="Bookman Old Style" w:hAnsi="Bookman Old Style" w:cs="Bookman Old Style"/>
              </w:rPr>
            </w:pPr>
            <w:r>
              <w:rPr>
                <w:rFonts w:cs="Bookman Old Style" w:ascii="Bookman Old Style" w:hAnsi="Bookman Old Style"/>
              </w:rPr>
            </w:r>
          </w:p>
        </w:tc>
      </w:tr>
    </w:tbl>
    <w:p>
      <w:pPr>
        <w:pStyle w:val="Normal"/>
        <w:rPr>
          <w:rFonts w:ascii="Bookman Old Style" w:hAnsi="Bookman Old Style" w:cs="Bookman Old Style"/>
        </w:rPr>
      </w:pPr>
      <w:r>
        <w:rPr>
          <w:rFonts w:cs="Bookman Old Style" w:ascii="Bookman Old Style" w:hAnsi="Bookman Old Style"/>
        </w:rPr>
      </w:r>
    </w:p>
    <w:p>
      <w:pPr>
        <w:pStyle w:val="Heading2"/>
        <w:ind w:hanging="0" w:start="0"/>
        <w:rPr>
          <w:sz w:val="24"/>
        </w:rPr>
      </w:pPr>
      <w:r>
        <w:rPr>
          <w:sz w:val="24"/>
        </w:rPr>
        <w:t>WITHDRAWAL SCHEDULE</w:t>
      </w:r>
    </w:p>
    <w:p>
      <w:pPr>
        <w:pStyle w:val="Normal"/>
        <w:jc w:val="center"/>
        <w:rPr>
          <w:rFonts w:ascii="Bookman Old Style" w:hAnsi="Bookman Old Style" w:cs="Bookman Old Style"/>
          <w:sz w:val="24"/>
        </w:rPr>
      </w:pPr>
      <w:r>
        <w:rPr>
          <w:rFonts w:cs="Bookman Old Style" w:ascii="Bookman Old Style" w:hAnsi="Bookman Old Style"/>
          <w:sz w:val="24"/>
        </w:rPr>
      </w:r>
    </w:p>
    <w:tbl>
      <w:tblPr>
        <w:tblW w:w="4770" w:type="dxa"/>
        <w:jc w:val="start"/>
        <w:tblInd w:w="2088" w:type="dxa"/>
        <w:tblLayout w:type="fixed"/>
        <w:tblCellMar>
          <w:top w:w="0" w:type="dxa"/>
          <w:start w:w="108" w:type="dxa"/>
          <w:bottom w:w="0" w:type="dxa"/>
          <w:end w:w="108" w:type="dxa"/>
        </w:tblCellMar>
      </w:tblPr>
      <w:tblGrid>
        <w:gridCol w:w="2070"/>
        <w:gridCol w:w="2700"/>
      </w:tblGrid>
      <w:tr>
        <w:trPr>
          <w:trHeight w:val="450" w:hRule="atLeast"/>
        </w:trPr>
        <w:tc>
          <w:tcPr>
            <w:tcW w:w="2070" w:type="dxa"/>
            <w:tcBorders>
              <w:top w:val="doub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b/>
                <w:caps/>
              </w:rPr>
            </w:pPr>
            <w:r>
              <w:rPr>
                <w:rFonts w:cs="Bookman Old Style" w:ascii="Bookman Old Style" w:hAnsi="Bookman Old Style"/>
                <w:b/>
              </w:rPr>
              <w:t>Month</w:t>
            </w:r>
          </w:p>
        </w:tc>
        <w:tc>
          <w:tcPr>
            <w:tcW w:w="2700" w:type="dxa"/>
            <w:tcBorders>
              <w:top w:val="double" w:sz="6" w:space="0" w:color="000000"/>
              <w:start w:val="single" w:sz="6" w:space="0" w:color="000000"/>
              <w:bottom w:val="single" w:sz="6" w:space="0" w:color="000000"/>
              <w:end w:val="double" w:sz="6" w:space="0" w:color="000000"/>
            </w:tcBorders>
          </w:tcPr>
          <w:p>
            <w:pPr>
              <w:pStyle w:val="Normal"/>
              <w:rPr>
                <w:rFonts w:ascii="Bookman Old Style" w:hAnsi="Bookman Old Style" w:cs="Bookman Old Style"/>
                <w:b/>
                <w:caps/>
              </w:rPr>
            </w:pPr>
            <w:r>
              <w:rPr>
                <w:rFonts w:cs="Bookman Old Style" w:ascii="Bookman Old Style" w:hAnsi="Bookman Old Style"/>
                <w:b/>
              </w:rPr>
              <w:t>Volume In Mmbtus</w:t>
            </w:r>
          </w:p>
        </w:tc>
      </w:tr>
      <w:tr>
        <w:trPr/>
        <w:tc>
          <w:tcPr>
            <w:tcW w:w="2070" w:type="dxa"/>
            <w:tcBorders>
              <w:top w:val="single" w:sz="6" w:space="0" w:color="000000"/>
              <w:start w:val="double" w:sz="6" w:space="0" w:color="000000"/>
              <w:bottom w:val="single" w:sz="6" w:space="0" w:color="000000"/>
              <w:end w:val="single" w:sz="6" w:space="0" w:color="000000"/>
            </w:tcBorders>
          </w:tcPr>
          <w:p>
            <w:pPr>
              <w:pStyle w:val="FootnoteText"/>
              <w:rPr>
                <w:rFonts w:ascii="Bookman Old Style" w:hAnsi="Bookman Old Style" w:cs="Bookman Old Style"/>
              </w:rPr>
            </w:pPr>
            <w:r>
              <w:rPr>
                <w:rFonts w:cs="Bookman Old Style" w:ascii="Bookman Old Style" w:hAnsi="Bookman Old Style"/>
              </w:rPr>
              <w:t>July 2005</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Aug 2005</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Sept 2005</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Oct 2005</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Nov 2005</w:t>
            </w:r>
          </w:p>
        </w:tc>
        <w:tc>
          <w:tcPr>
            <w:tcW w:w="2700" w:type="dxa"/>
            <w:tcBorders>
              <w:top w:val="single" w:sz="6" w:space="0" w:color="000000"/>
              <w:start w:val="single" w:sz="6" w:space="0" w:color="000000"/>
              <w:bottom w:val="sing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r>
        <w:trPr/>
        <w:tc>
          <w:tcPr>
            <w:tcW w:w="2070" w:type="dxa"/>
            <w:tcBorders>
              <w:top w:val="single" w:sz="6" w:space="0" w:color="000000"/>
              <w:start w:val="double" w:sz="6" w:space="0" w:color="000000"/>
              <w:bottom w:val="double" w:sz="6" w:space="0" w:color="000000"/>
              <w:end w:val="single" w:sz="6" w:space="0" w:color="000000"/>
            </w:tcBorders>
          </w:tcPr>
          <w:p>
            <w:pPr>
              <w:pStyle w:val="Normal"/>
              <w:rPr>
                <w:rFonts w:ascii="Bookman Old Style" w:hAnsi="Bookman Old Style" w:cs="Bookman Old Style"/>
              </w:rPr>
            </w:pPr>
            <w:r>
              <w:rPr>
                <w:rFonts w:cs="Bookman Old Style" w:ascii="Bookman Old Style" w:hAnsi="Bookman Old Style"/>
              </w:rPr>
              <w:t>Dec 2005</w:t>
            </w:r>
          </w:p>
        </w:tc>
        <w:tc>
          <w:tcPr>
            <w:tcW w:w="270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Bookman Old Style" w:hAnsi="Bookman Old Style" w:cs="Bookman Old Style"/>
              </w:rPr>
            </w:pPr>
            <w:r>
              <w:rPr>
                <w:rFonts w:cs="Bookman Old Style" w:ascii="Bookman Old Style" w:hAnsi="Bookman Old Style"/>
              </w:rPr>
            </w:r>
          </w:p>
        </w:tc>
      </w:tr>
    </w:tbl>
    <w:p>
      <w:pPr>
        <w:pStyle w:val="Normal"/>
        <w:rPr>
          <w:rFonts w:ascii="Bookman Old Style" w:hAnsi="Bookman Old Style" w:cs="Bookman Old Style"/>
        </w:rPr>
      </w:pPr>
      <w:r>
        <w:rPr>
          <w:rFonts w:cs="Bookman Old Style" w:ascii="Bookman Old Style" w:hAnsi="Bookman Old Style"/>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Any early termination or early withdrawal would need to allow for a liquidated damage which will cover among other items (i) any unpaid amount in excess of the long term gas price that was paid originally; (ii) costs associated with the unwind of the gas swap that the Trust will enter into, plus any shortfall in payment of principal and interest due; (iii) any costs associated with the interest rate swap unwind that the Trust would have entered into.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olor w:val="000000"/>
      <w:sz w:val="28"/>
      <w:lang w:eastAsia="en-US"/>
    </w:rPr>
  </w:style>
  <w:style w:type="paragraph" w:styleId="Heading2">
    <w:name w:val="heading 2"/>
    <w:basedOn w:val="Normal"/>
    <w:next w:val="Normal"/>
    <w:qFormat/>
    <w:pPr>
      <w:keepNext w:val="true"/>
      <w:numPr>
        <w:ilvl w:val="1"/>
        <w:numId w:val="1"/>
      </w:numPr>
      <w:jc w:val="center"/>
      <w:outlineLvl w:val="1"/>
    </w:pPr>
    <w:rPr>
      <w:rFonts w:ascii="Bookman Old Style" w:hAnsi="Bookman Old Style" w:cs="Bookman Old Style"/>
      <w:b/>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120"/>
      <w:jc w:val="center"/>
    </w:pPr>
    <w:rPr>
      <w:rFonts w:ascii="Bookman Old Style" w:hAnsi="Bookman Old Style" w:cs="Bookman Old Style"/>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2000-10-06T17:29:00Z</dcterms:created>
  <dc:creator>rdutt</dc:creator>
  <dc:description/>
  <dc:language>en-CA</dc:language>
  <cp:lastModifiedBy>rdutt</cp:lastModifiedBy>
  <dcterms:modified xsi:type="dcterms:W3CDTF">2000-10-06T21:04:00Z</dcterms:modified>
  <cp:revision>5</cp:revision>
  <dc:subject/>
  <dc:title>Terms of sale of [ ]% A shares to Trust</dc:title>
</cp:coreProperties>
</file>