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ENRON NORTH AMERICA CORP.</w:t>
      </w:r>
    </w:p>
    <w:p>
      <w:pPr>
        <w:pStyle w:val="Heading2"/>
        <w:ind w:hanging="0" w:start="0"/>
        <w:rPr>
          <w:sz w:val="24"/>
        </w:rPr>
      </w:pPr>
      <w:r>
        <w:rPr>
          <w:sz w:val="24"/>
        </w:rPr>
        <w:t>Clark Public Utilities Proposal</w:t>
      </w:r>
    </w:p>
    <w:p>
      <w:pPr>
        <w:pStyle w:val="Heading7"/>
        <w:ind w:hanging="0" w:start="0"/>
        <w:rPr/>
      </w:pPr>
      <w:r>
        <w:rPr/>
        <w:t>February 2, 2001</w:t>
      </w:r>
    </w:p>
    <w:p>
      <w:pPr>
        <w:pStyle w:val="Heading2"/>
        <w:ind w:hanging="0" w:start="0"/>
        <w:rPr>
          <w:sz w:val="24"/>
        </w:rPr>
      </w:pPr>
      <w:r>
        <w:rPr>
          <w:sz w:val="24"/>
        </w:rPr>
      </w:r>
    </w:p>
    <w:p>
      <w:pPr>
        <w:pStyle w:val="Heading2"/>
        <w:ind w:hanging="0" w:start="0"/>
        <w:rPr>
          <w:caps/>
          <w:sz w:val="28"/>
          <w:u w:val="single"/>
        </w:rPr>
      </w:pPr>
      <w:r>
        <w:rPr>
          <w:caps/>
          <w:sz w:val="28"/>
          <w:u w:val="single"/>
        </w:rPr>
        <w:t>DISCUSSION OUTLINE for PROPOSED power supply and ENERGY MANAGEMENT TRANSACTION</w:t>
      </w:r>
    </w:p>
    <w:p>
      <w:pPr>
        <w:pStyle w:val="Normal"/>
        <w:rPr>
          <w:caps/>
          <w:sz w:val="28"/>
          <w:u w:val="single"/>
        </w:rPr>
      </w:pPr>
      <w:r>
        <w:rPr>
          <w:caps/>
          <w:sz w:val="28"/>
          <w:u w:val="single"/>
        </w:rPr>
      </w:r>
    </w:p>
    <w:p>
      <w:pPr>
        <w:pStyle w:val="Heading9"/>
        <w:ind w:hanging="0" w:start="0"/>
        <w:rPr>
          <w:u w:val="single"/>
        </w:rPr>
      </w:pPr>
      <w:r>
        <w:rPr>
          <w:u w:val="single"/>
        </w:rPr>
        <w:t>Overview</w:t>
      </w:r>
    </w:p>
    <w:p>
      <w:pPr>
        <w:pStyle w:val="Normal"/>
        <w:jc w:val="both"/>
        <w:rPr>
          <w:sz w:val="24"/>
          <w:u w:val="single"/>
        </w:rPr>
      </w:pPr>
      <w:r>
        <w:rPr>
          <w:sz w:val="24"/>
          <w:u w:val="single"/>
        </w:rPr>
      </w:r>
    </w:p>
    <w:p>
      <w:pPr>
        <w:pStyle w:val="Normal"/>
        <w:jc w:val="both"/>
        <w:rPr>
          <w:sz w:val="24"/>
        </w:rPr>
      </w:pPr>
      <w:r>
        <w:rPr>
          <w:sz w:val="24"/>
        </w:rPr>
        <w:t xml:space="preserve">Enron North America Corp. (“ENA”) is interested in pursuing an energy management arrangement with Clark Public Utilities (“Clark”) covering all electric power and natural gas requirements associated with serving Clark’s native electric load in Clark County, Washington.  Enron is also interested in pursuing the development of an additional power generation facility at Clark’s River Road site. </w:t>
      </w:r>
    </w:p>
    <w:p>
      <w:pPr>
        <w:pStyle w:val="Normal"/>
        <w:jc w:val="both"/>
        <w:rPr>
          <w:sz w:val="24"/>
        </w:rPr>
      </w:pPr>
      <w:r>
        <w:rPr>
          <w:sz w:val="24"/>
        </w:rPr>
      </w:r>
    </w:p>
    <w:p>
      <w:pPr>
        <w:pStyle w:val="Normal"/>
        <w:jc w:val="both"/>
        <w:rPr>
          <w:sz w:val="24"/>
        </w:rPr>
      </w:pPr>
      <w:r>
        <w:rPr>
          <w:sz w:val="24"/>
        </w:rPr>
        <w:t xml:space="preserve">ENA proposes that ENA (or one or more of its affiliates) would manage all of Clark’s existing resources, and provide Clark with fixed-price energy to serve Clark’s native load requirements.  ENA would control the dispatch of all Clark’s existing resources including River Road Power Plant (“River Road”), Bonneville Power Administration (“BPA”) resources, short-term power resources, storage agreements, natural gas supplies, and natural gas pipeline capacity.  ENA would assume all scheduling and nomination responsibilities for power and gas.  Additionally, ENA would provide physical gas commodity for the operation of River Road. </w:t>
      </w:r>
    </w:p>
    <w:p>
      <w:pPr>
        <w:pStyle w:val="Normal"/>
        <w:jc w:val="both"/>
        <w:rPr>
          <w:sz w:val="24"/>
        </w:rPr>
      </w:pPr>
      <w:r>
        <w:rPr>
          <w:sz w:val="24"/>
        </w:rPr>
        <w:t xml:space="preserve"> </w:t>
      </w:r>
    </w:p>
    <w:p>
      <w:pPr>
        <w:pStyle w:val="Normal"/>
        <w:jc w:val="both"/>
        <w:rPr>
          <w:sz w:val="24"/>
          <w:u w:val="single"/>
        </w:rPr>
      </w:pPr>
      <w:r>
        <w:rPr>
          <w:sz w:val="24"/>
          <w:u w:val="single"/>
        </w:rPr>
        <w:t>Benefits to the Parties</w:t>
      </w:r>
    </w:p>
    <w:p>
      <w:pPr>
        <w:pStyle w:val="Normal"/>
        <w:jc w:val="both"/>
        <w:rPr>
          <w:sz w:val="24"/>
          <w:u w:val="single"/>
        </w:rPr>
      </w:pPr>
      <w:r>
        <w:rPr>
          <w:sz w:val="24"/>
          <w:u w:val="single"/>
        </w:rPr>
      </w:r>
    </w:p>
    <w:p>
      <w:pPr>
        <w:pStyle w:val="Normal"/>
        <w:jc w:val="both"/>
        <w:rPr>
          <w:sz w:val="24"/>
        </w:rPr>
      </w:pPr>
      <w:r>
        <w:rPr>
          <w:sz w:val="24"/>
        </w:rPr>
        <w:t>The services provided by ENA’s proposed integrated management and supply transaction would result in a known power and fuel expense structure for Clark.  ENA’s proposed transaction would have the effect of minimizing Clark’s exposure to commodity market price risk and hydro capacity risk.  In exchange, ENA would benefit by gaining the rights to market all Clark’s excess energy and natural gas pipeline capacity when available.</w:t>
      </w:r>
    </w:p>
    <w:p>
      <w:pPr>
        <w:pStyle w:val="Heading6"/>
        <w:ind w:hanging="0" w:start="0"/>
        <w:rPr>
          <w:sz w:val="24"/>
        </w:rPr>
      </w:pPr>
      <w:r>
        <w:rPr>
          <w:sz w:val="24"/>
        </w:rPr>
      </w:r>
    </w:p>
    <w:p>
      <w:pPr>
        <w:pStyle w:val="Heading6"/>
        <w:ind w:hanging="0" w:start="0"/>
        <w:rPr>
          <w:sz w:val="24"/>
        </w:rPr>
      </w:pPr>
      <w:r>
        <w:rPr>
          <w:sz w:val="24"/>
        </w:rPr>
        <w:t>Basic Structure</w:t>
      </w:r>
    </w:p>
    <w:p>
      <w:pPr>
        <w:pStyle w:val="BodyText3"/>
        <w:rPr>
          <w:sz w:val="24"/>
        </w:rPr>
      </w:pPr>
      <w:r>
        <w:rPr>
          <w:sz w:val="24"/>
        </w:rPr>
      </w:r>
    </w:p>
    <w:p>
      <w:pPr>
        <w:pStyle w:val="BodyText3"/>
        <w:rPr/>
      </w:pPr>
      <w:r>
        <w:rPr>
          <w:sz w:val="24"/>
        </w:rPr>
        <w:t xml:space="preserve">ENA would deliver and Clark would accept firm fixed-price energy at mutually agreed delivery points pursuant to a predetermined hourly load forecast.  </w:t>
      </w:r>
      <w:r>
        <w:rPr>
          <w:sz w:val="24"/>
          <w:u w:val="single"/>
        </w:rPr>
        <w:t xml:space="preserve">Upon receipt of all necessary regulatory and/or third party approvals, </w:t>
      </w:r>
      <w:r>
        <w:rPr>
          <w:sz w:val="24"/>
        </w:rPr>
        <w:t xml:space="preserve">ENA would acquire all necessary rights to Clark’s existing resources and dispatch rights to those resources.  </w:t>
      </w:r>
    </w:p>
    <w:p>
      <w:pPr>
        <w:pStyle w:val="Normal"/>
        <w:jc w:val="both"/>
        <w:rPr>
          <w:sz w:val="24"/>
        </w:rPr>
      </w:pPr>
      <w:r>
        <w:rPr>
          <w:sz w:val="24"/>
        </w:rPr>
      </w:r>
      <w:r>
        <w:br w:type="page"/>
      </w:r>
    </w:p>
    <w:p>
      <w:pPr>
        <w:pStyle w:val="Heading5"/>
        <w:ind w:hanging="0" w:start="0"/>
        <w:jc w:val="both"/>
        <w:rPr>
          <w:sz w:val="24"/>
        </w:rPr>
      </w:pPr>
      <w:r>
        <w:rPr>
          <w:sz w:val="24"/>
        </w:rPr>
        <w:t>Contract Term</w:t>
      </w:r>
    </w:p>
    <w:p>
      <w:pPr>
        <w:pStyle w:val="Normal"/>
        <w:jc w:val="both"/>
        <w:rPr>
          <w:sz w:val="24"/>
        </w:rPr>
      </w:pPr>
      <w:r>
        <w:rPr>
          <w:sz w:val="24"/>
        </w:rPr>
      </w:r>
    </w:p>
    <w:p>
      <w:pPr>
        <w:pStyle w:val="Normal"/>
        <w:jc w:val="both"/>
        <w:rPr>
          <w:sz w:val="24"/>
        </w:rPr>
      </w:pPr>
      <w:r>
        <w:rPr>
          <w:sz w:val="24"/>
        </w:rPr>
        <w:t>Ten (10) years, starting June 1, 2001.</w:t>
      </w:r>
    </w:p>
    <w:p>
      <w:pPr>
        <w:pStyle w:val="Normal"/>
        <w:tabs>
          <w:tab w:val="clear" w:pos="720"/>
          <w:tab w:val="left" w:pos="3960" w:leader="none"/>
          <w:tab w:val="left" w:pos="5280" w:leader="none"/>
          <w:tab w:val="left" w:pos="9180" w:leader="none"/>
        </w:tabs>
        <w:spacing w:lineRule="atLeast" w:line="240"/>
        <w:ind w:end="360"/>
        <w:jc w:val="both"/>
        <w:rPr>
          <w:rFonts w:ascii="TIMES" w:hAnsi="TIMES" w:cs="TIMES"/>
          <w:sz w:val="24"/>
          <w:u w:val="single"/>
        </w:rPr>
      </w:pPr>
      <w:r>
        <w:rPr>
          <w:rFonts w:cs="TIMES" w:ascii="TIMES" w:hAnsi="TIMES"/>
          <w:sz w:val="24"/>
          <w:u w:val="single"/>
        </w:rPr>
      </w:r>
    </w:p>
    <w:p>
      <w:pPr>
        <w:pStyle w:val="Normal"/>
        <w:tabs>
          <w:tab w:val="clear" w:pos="720"/>
          <w:tab w:val="left" w:pos="3960" w:leader="none"/>
          <w:tab w:val="left" w:pos="5280" w:leader="none"/>
          <w:tab w:val="left" w:pos="9180" w:leader="none"/>
        </w:tabs>
        <w:spacing w:lineRule="atLeast" w:line="240"/>
        <w:ind w:end="360"/>
        <w:jc w:val="both"/>
        <w:rPr>
          <w:rFonts w:ascii="TIMES" w:hAnsi="TIMES" w:cs="TIMES"/>
          <w:sz w:val="24"/>
          <w:u w:val="single"/>
        </w:rPr>
      </w:pPr>
      <w:r>
        <w:rPr>
          <w:rFonts w:cs="TIMES" w:ascii="TIMES" w:hAnsi="TIMES"/>
          <w:sz w:val="24"/>
          <w:u w:val="single"/>
        </w:rPr>
        <w:t>Indicative Pricing/Quantity</w:t>
      </w:r>
    </w:p>
    <w:p>
      <w:pPr>
        <w:pStyle w:val="Normal"/>
        <w:tabs>
          <w:tab w:val="clear" w:pos="720"/>
          <w:tab w:val="left" w:pos="3960" w:leader="none"/>
          <w:tab w:val="left" w:pos="5280" w:leader="none"/>
          <w:tab w:val="left" w:pos="9180" w:leader="none"/>
        </w:tabs>
        <w:spacing w:lineRule="atLeast" w:line="240"/>
        <w:ind w:end="360"/>
        <w:jc w:val="both"/>
        <w:rPr>
          <w:rFonts w:ascii="TIMES" w:hAnsi="TIMES" w:cs="TIMES"/>
          <w:sz w:val="24"/>
          <w:u w:val="single"/>
        </w:rPr>
      </w:pPr>
      <w:r>
        <w:rPr>
          <w:rFonts w:cs="TIMES" w:ascii="TIMES" w:hAnsi="TIMES"/>
          <w:sz w:val="24"/>
          <w:u w:val="single"/>
        </w:rPr>
      </w:r>
    </w:p>
    <w:p>
      <w:pPr>
        <w:pStyle w:val="Normal"/>
        <w:tabs>
          <w:tab w:val="clear" w:pos="720"/>
          <w:tab w:val="left" w:pos="3960" w:leader="none"/>
          <w:tab w:val="left" w:pos="5280" w:leader="none"/>
          <w:tab w:val="left" w:pos="9180" w:leader="none"/>
        </w:tabs>
        <w:spacing w:lineRule="atLeast" w:line="240"/>
        <w:ind w:end="360"/>
        <w:jc w:val="both"/>
        <w:rPr>
          <w:rFonts w:ascii="TIMES" w:hAnsi="TIMES" w:cs="TIMES"/>
          <w:sz w:val="24"/>
        </w:rPr>
      </w:pPr>
      <w:r>
        <w:rPr>
          <w:rFonts w:cs="TIMES" w:ascii="TIMES" w:hAnsi="TIMES"/>
          <w:sz w:val="24"/>
        </w:rPr>
        <w:t>Clark would pay ENA $______/MWh for energy according to a mutually agreed upon load forecast.  Energy usage above and beyond such load forecast would be purchased from ENA by Clark at market price.</w:t>
      </w:r>
    </w:p>
    <w:p>
      <w:pPr>
        <w:pStyle w:val="Normal"/>
        <w:jc w:val="both"/>
        <w:rPr>
          <w:rFonts w:ascii="TIMES" w:hAnsi="TIMES" w:cs="TIMES"/>
          <w:sz w:val="24"/>
        </w:rPr>
      </w:pPr>
      <w:r>
        <w:rPr>
          <w:rFonts w:cs="TIMES" w:ascii="TIMES" w:hAnsi="TIMES"/>
          <w:sz w:val="24"/>
        </w:rPr>
      </w:r>
    </w:p>
    <w:p>
      <w:pPr>
        <w:pStyle w:val="Normal"/>
        <w:jc w:val="both"/>
        <w:rPr>
          <w:sz w:val="24"/>
          <w:u w:val="single"/>
        </w:rPr>
      </w:pPr>
      <w:r>
        <w:rPr>
          <w:sz w:val="24"/>
          <w:u w:val="single"/>
        </w:rPr>
        <w:t>Resources</w:t>
      </w:r>
    </w:p>
    <w:p>
      <w:pPr>
        <w:pStyle w:val="Normal"/>
        <w:jc w:val="both"/>
        <w:rPr>
          <w:sz w:val="24"/>
          <w:u w:val="single"/>
        </w:rPr>
      </w:pPr>
      <w:r>
        <w:rPr>
          <w:sz w:val="24"/>
          <w:u w:val="single"/>
        </w:rPr>
      </w:r>
    </w:p>
    <w:p>
      <w:pPr>
        <w:pStyle w:val="Normal"/>
        <w:tabs>
          <w:tab w:val="clear" w:pos="720"/>
          <w:tab w:val="left" w:pos="540" w:leader="none"/>
        </w:tabs>
        <w:jc w:val="both"/>
        <w:rPr>
          <w:sz w:val="24"/>
        </w:rPr>
      </w:pPr>
      <w:r>
        <w:rPr>
          <w:sz w:val="24"/>
        </w:rPr>
        <w:t>Upon receipt of all necessary regulatory and/or third party approvals, Enron would acquire all necessary rights to manage, dispatch and market the following resources:</w:t>
      </w:r>
    </w:p>
    <w:p>
      <w:pPr>
        <w:pStyle w:val="Normal"/>
        <w:tabs>
          <w:tab w:val="clear" w:pos="720"/>
          <w:tab w:val="left" w:pos="540" w:leader="none"/>
        </w:tabs>
        <w:jc w:val="both"/>
        <w:rPr>
          <w:sz w:val="24"/>
        </w:rPr>
      </w:pPr>
      <w:r>
        <w:rPr>
          <w:sz w:val="24"/>
        </w:rPr>
      </w:r>
    </w:p>
    <w:p>
      <w:pPr>
        <w:pStyle w:val="Normal"/>
        <w:tabs>
          <w:tab w:val="clear" w:pos="720"/>
          <w:tab w:val="left" w:pos="540" w:leader="none"/>
          <w:tab w:val="left" w:pos="900" w:leader="none"/>
          <w:tab w:val="left" w:pos="1080" w:leader="none"/>
        </w:tabs>
        <w:ind w:hanging="360" w:start="900" w:end="0"/>
        <w:jc w:val="both"/>
        <w:rPr>
          <w:sz w:val="24"/>
        </w:rPr>
      </w:pPr>
      <w:r>
        <w:rPr>
          <w:sz w:val="24"/>
        </w:rPr>
        <w:t>a)</w:t>
        <w:tab/>
        <w:t>BPA Slice/Block Contract or BPA Block Contract (10/1/01-9/30/11) at 10/1/01 rate levels.  Enron would have the option to require Clark to purchase BPA slice or block products at its discretion, pursuant to the terms outlined herein.</w:t>
      </w:r>
    </w:p>
    <w:p>
      <w:pPr>
        <w:pStyle w:val="Normal"/>
        <w:tabs>
          <w:tab w:val="clear" w:pos="720"/>
          <w:tab w:val="left" w:pos="540" w:leader="none"/>
          <w:tab w:val="left" w:pos="900" w:leader="none"/>
          <w:tab w:val="left" w:pos="1080" w:leader="none"/>
        </w:tabs>
        <w:ind w:hanging="360" w:start="900" w:end="0"/>
        <w:jc w:val="both"/>
        <w:rPr>
          <w:sz w:val="24"/>
        </w:rPr>
      </w:pPr>
      <w:r>
        <w:rPr>
          <w:sz w:val="24"/>
        </w:rPr>
        <w:t>b)</w:t>
        <w:tab/>
        <w:t>Clark’s River Road Generating Plant output at 93% annual capacity factor, 7100 Btu/kWh heat rate.</w:t>
      </w:r>
    </w:p>
    <w:p>
      <w:pPr>
        <w:pStyle w:val="Normal"/>
        <w:tabs>
          <w:tab w:val="clear" w:pos="720"/>
          <w:tab w:val="left" w:pos="540" w:leader="none"/>
          <w:tab w:val="left" w:pos="900" w:leader="none"/>
          <w:tab w:val="left" w:pos="1080" w:leader="none"/>
        </w:tabs>
        <w:ind w:hanging="360" w:start="900" w:end="0"/>
        <w:jc w:val="both"/>
        <w:rPr>
          <w:sz w:val="24"/>
        </w:rPr>
      </w:pPr>
      <w:r>
        <w:rPr>
          <w:sz w:val="24"/>
        </w:rPr>
        <w:t>c)</w:t>
        <w:tab/>
        <w:t>Avista Supplemental Power Supply Contract (expires 7/31/01).</w:t>
      </w:r>
    </w:p>
    <w:p>
      <w:pPr>
        <w:pStyle w:val="Normal"/>
        <w:tabs>
          <w:tab w:val="clear" w:pos="720"/>
          <w:tab w:val="left" w:pos="540" w:leader="none"/>
          <w:tab w:val="left" w:pos="900" w:leader="none"/>
          <w:tab w:val="left" w:pos="1080" w:leader="none"/>
        </w:tabs>
        <w:ind w:hanging="360" w:start="900" w:end="0"/>
        <w:jc w:val="both"/>
        <w:rPr>
          <w:sz w:val="24"/>
        </w:rPr>
      </w:pPr>
      <w:r>
        <w:rPr>
          <w:sz w:val="24"/>
        </w:rPr>
        <w:t>d)</w:t>
        <w:tab/>
        <w:t>Avista Gas Supply Contract for River Road (expires10/02).</w:t>
      </w:r>
    </w:p>
    <w:p>
      <w:pPr>
        <w:pStyle w:val="Normal"/>
        <w:tabs>
          <w:tab w:val="clear" w:pos="720"/>
          <w:tab w:val="left" w:pos="540" w:leader="none"/>
          <w:tab w:val="left" w:pos="900" w:leader="none"/>
          <w:tab w:val="left" w:pos="1080" w:leader="none"/>
        </w:tabs>
        <w:ind w:hanging="360" w:start="900" w:end="0"/>
        <w:jc w:val="both"/>
        <w:rPr>
          <w:sz w:val="24"/>
        </w:rPr>
      </w:pPr>
      <w:r>
        <w:rPr>
          <w:sz w:val="24"/>
        </w:rPr>
        <w:t>e)</w:t>
        <w:tab/>
        <w:t>Avista firm transport rights for gas fuel supplies at Sumas and Stanfield receipt and River Road delivery. (Expiration varies - 2004 through 2015 - subject to current negotiations.)</w:t>
      </w:r>
    </w:p>
    <w:p>
      <w:pPr>
        <w:pStyle w:val="Normal"/>
        <w:tabs>
          <w:tab w:val="clear" w:pos="720"/>
          <w:tab w:val="left" w:pos="540" w:leader="none"/>
          <w:tab w:val="left" w:pos="900" w:leader="none"/>
          <w:tab w:val="left" w:pos="1080" w:leader="none"/>
        </w:tabs>
        <w:ind w:hanging="360" w:start="900" w:end="0"/>
        <w:jc w:val="both"/>
        <w:rPr>
          <w:sz w:val="24"/>
        </w:rPr>
      </w:pPr>
      <w:r>
        <w:rPr>
          <w:sz w:val="24"/>
        </w:rPr>
        <w:t>f)</w:t>
        <w:tab/>
        <w:t>PacifiCorp Supplemental Power Supply Contract (expires 7/31/01).</w:t>
      </w:r>
    </w:p>
    <w:p>
      <w:pPr>
        <w:pStyle w:val="Normal"/>
        <w:tabs>
          <w:tab w:val="clear" w:pos="720"/>
          <w:tab w:val="left" w:pos="540" w:leader="none"/>
          <w:tab w:val="left" w:pos="900" w:leader="none"/>
          <w:tab w:val="left" w:pos="1080" w:leader="none"/>
        </w:tabs>
        <w:ind w:hanging="360" w:start="900" w:end="0"/>
        <w:jc w:val="both"/>
        <w:rPr>
          <w:sz w:val="24"/>
        </w:rPr>
      </w:pPr>
      <w:r>
        <w:rPr>
          <w:sz w:val="24"/>
        </w:rPr>
        <w:t>g)</w:t>
        <w:tab/>
        <w:t>Transmission Supply Contracts with BPA - PTP and NT, at 2001 rate levels.</w:t>
      </w:r>
    </w:p>
    <w:p>
      <w:pPr>
        <w:pStyle w:val="Normal"/>
        <w:tabs>
          <w:tab w:val="clear" w:pos="720"/>
          <w:tab w:val="left" w:pos="540" w:leader="none"/>
          <w:tab w:val="left" w:pos="900" w:leader="none"/>
          <w:tab w:val="left" w:pos="1080" w:leader="none"/>
        </w:tabs>
        <w:ind w:hanging="360" w:start="900" w:end="0"/>
        <w:jc w:val="both"/>
        <w:rPr>
          <w:sz w:val="24"/>
        </w:rPr>
      </w:pPr>
      <w:r>
        <w:rPr>
          <w:sz w:val="24"/>
        </w:rPr>
        <w:t>h)</w:t>
        <w:tab/>
        <w:t>Clark’s allocation of CSPE benefits.</w:t>
      </w:r>
    </w:p>
    <w:p>
      <w:pPr>
        <w:pStyle w:val="Normal"/>
        <w:tabs>
          <w:tab w:val="clear" w:pos="720"/>
          <w:tab w:val="left" w:pos="540" w:leader="none"/>
          <w:tab w:val="left" w:pos="900" w:leader="none"/>
          <w:tab w:val="left" w:pos="1080" w:leader="none"/>
        </w:tabs>
        <w:ind w:hanging="360" w:start="900" w:end="0"/>
        <w:jc w:val="both"/>
        <w:rPr>
          <w:sz w:val="24"/>
        </w:rPr>
      </w:pPr>
      <w:r>
        <w:rPr>
          <w:sz w:val="24"/>
        </w:rPr>
        <w:t>i)</w:t>
        <w:tab/>
        <w:t>Clark’s contract with PacifiCorp for supply of Wafertech.</w:t>
      </w:r>
    </w:p>
    <w:p>
      <w:pPr>
        <w:pStyle w:val="Normal"/>
        <w:jc w:val="both"/>
        <w:rPr>
          <w:sz w:val="24"/>
        </w:rPr>
      </w:pPr>
      <w:r>
        <w:rPr>
          <w:sz w:val="24"/>
        </w:rPr>
      </w:r>
    </w:p>
    <w:p>
      <w:pPr>
        <w:pStyle w:val="Normal"/>
        <w:jc w:val="both"/>
        <w:rPr>
          <w:sz w:val="24"/>
          <w:u w:val="single"/>
        </w:rPr>
      </w:pPr>
      <w:r>
        <w:rPr>
          <w:sz w:val="24"/>
          <w:u w:val="single"/>
        </w:rPr>
        <w:t>Transmission</w:t>
      </w:r>
    </w:p>
    <w:p>
      <w:pPr>
        <w:pStyle w:val="Normal"/>
        <w:jc w:val="both"/>
        <w:rPr>
          <w:sz w:val="24"/>
          <w:u w:val="single"/>
        </w:rPr>
      </w:pPr>
      <w:r>
        <w:rPr>
          <w:sz w:val="24"/>
          <w:u w:val="single"/>
        </w:rPr>
      </w:r>
    </w:p>
    <w:p>
      <w:pPr>
        <w:pStyle w:val="BlockText"/>
        <w:ind w:hanging="0" w:start="0" w:end="-360"/>
        <w:rPr/>
      </w:pPr>
      <w:r>
        <w:rPr/>
        <w:t>ENA would assume all responsibilities and costs associated with transporting power to serve Clark’s load and sell Clark surplus resources, including:</w:t>
      </w:r>
    </w:p>
    <w:p>
      <w:pPr>
        <w:pStyle w:val="Normal"/>
        <w:tabs>
          <w:tab w:val="left" w:pos="720" w:leader="none"/>
          <w:tab w:val="left" w:pos="900" w:leader="none"/>
        </w:tabs>
        <w:ind w:hanging="360" w:start="900" w:end="-360"/>
        <w:jc w:val="both"/>
        <w:rPr>
          <w:sz w:val="24"/>
        </w:rPr>
      </w:pPr>
      <w:r>
        <w:rPr>
          <w:sz w:val="24"/>
        </w:rPr>
        <w:t>a)</w:t>
        <w:tab/>
        <w:t>BPA Network Transmission (NT) contract costs.</w:t>
      </w:r>
    </w:p>
    <w:p>
      <w:pPr>
        <w:pStyle w:val="Normal"/>
        <w:tabs>
          <w:tab w:val="left" w:pos="720" w:leader="none"/>
          <w:tab w:val="left" w:pos="900" w:leader="none"/>
        </w:tabs>
        <w:ind w:hanging="360" w:start="900" w:end="-360"/>
        <w:jc w:val="both"/>
        <w:rPr>
          <w:sz w:val="24"/>
        </w:rPr>
      </w:pPr>
      <w:r>
        <w:rPr>
          <w:sz w:val="24"/>
        </w:rPr>
        <w:t>b)</w:t>
        <w:tab/>
        <w:t>Scheduling and paying costs associated with other BPA contracts used to serve Clark load or sell surplus energy.</w:t>
      </w:r>
    </w:p>
    <w:p>
      <w:pPr>
        <w:pStyle w:val="Normal"/>
        <w:tabs>
          <w:tab w:val="left" w:pos="720" w:leader="none"/>
          <w:tab w:val="left" w:pos="900" w:leader="none"/>
        </w:tabs>
        <w:ind w:hanging="360" w:start="900" w:end="-360"/>
        <w:jc w:val="both"/>
        <w:rPr>
          <w:sz w:val="24"/>
        </w:rPr>
      </w:pPr>
      <w:r>
        <w:rPr>
          <w:sz w:val="24"/>
        </w:rPr>
        <w:t>c)</w:t>
        <w:tab/>
        <w:t>Scheduling and paying costs associated with other market transmission contracts used to serve load or sell surplus energy.</w:t>
      </w:r>
    </w:p>
    <w:p>
      <w:pPr>
        <w:pStyle w:val="Normal"/>
        <w:jc w:val="both"/>
        <w:rPr>
          <w:sz w:val="24"/>
        </w:rPr>
      </w:pPr>
      <w:r>
        <w:rPr>
          <w:sz w:val="24"/>
        </w:rPr>
      </w:r>
    </w:p>
    <w:p>
      <w:pPr>
        <w:pStyle w:val="Normal"/>
        <w:jc w:val="both"/>
        <w:rPr>
          <w:sz w:val="24"/>
          <w:u w:val="single"/>
        </w:rPr>
      </w:pPr>
      <w:r>
        <w:rPr>
          <w:sz w:val="24"/>
          <w:u w:val="single"/>
        </w:rPr>
        <w:t>Cost Recovery Adjustment Clause (CRAC):</w:t>
      </w:r>
    </w:p>
    <w:p>
      <w:pPr>
        <w:pStyle w:val="Normal"/>
        <w:jc w:val="both"/>
        <w:rPr>
          <w:sz w:val="24"/>
          <w:u w:val="single"/>
        </w:rPr>
      </w:pPr>
      <w:r>
        <w:rPr>
          <w:sz w:val="24"/>
          <w:u w:val="single"/>
        </w:rPr>
      </w:r>
    </w:p>
    <w:p>
      <w:pPr>
        <w:pStyle w:val="Normal"/>
        <w:jc w:val="both"/>
        <w:rPr>
          <w:sz w:val="24"/>
        </w:rPr>
      </w:pPr>
      <w:r>
        <w:rPr>
          <w:sz w:val="24"/>
        </w:rPr>
        <w:t>Clark would assume all risks associated with the BPA Cost Recovery Adjustment Clause (CRAC) on their PF Block energy.  Clark would pay these charges directly to BPA annually.</w:t>
      </w:r>
    </w:p>
    <w:p>
      <w:pPr>
        <w:pStyle w:val="Normal"/>
        <w:jc w:val="both"/>
        <w:rPr>
          <w:sz w:val="24"/>
        </w:rPr>
      </w:pPr>
      <w:r>
        <w:rPr>
          <w:sz w:val="24"/>
        </w:rPr>
      </w:r>
    </w:p>
    <w:p>
      <w:pPr>
        <w:pStyle w:val="Normal"/>
        <w:jc w:val="both"/>
        <w:rPr>
          <w:sz w:val="24"/>
          <w:u w:val="single"/>
        </w:rPr>
      </w:pPr>
      <w:r>
        <w:rPr>
          <w:sz w:val="24"/>
          <w:u w:val="single"/>
        </w:rPr>
        <w:t>Slice Administrative Expenses:</w:t>
      </w:r>
    </w:p>
    <w:p>
      <w:pPr>
        <w:pStyle w:val="Normal"/>
        <w:jc w:val="both"/>
        <w:rPr>
          <w:sz w:val="24"/>
          <w:u w:val="single"/>
        </w:rPr>
      </w:pPr>
      <w:r>
        <w:rPr>
          <w:sz w:val="24"/>
          <w:u w:val="single"/>
        </w:rPr>
      </w:r>
    </w:p>
    <w:p>
      <w:pPr>
        <w:pStyle w:val="Normal"/>
        <w:jc w:val="both"/>
        <w:rPr>
          <w:sz w:val="24"/>
        </w:rPr>
      </w:pPr>
      <w:r>
        <w:rPr>
          <w:sz w:val="24"/>
        </w:rPr>
        <w:t>Clark would pay its proportionate share of all BPA’s overhead costs associated with implementing Slice as required by the final Slice contract offered by BPA for execution.</w:t>
      </w:r>
    </w:p>
    <w:p>
      <w:pPr>
        <w:pStyle w:val="Normal"/>
        <w:jc w:val="both"/>
        <w:rPr>
          <w:sz w:val="24"/>
        </w:rPr>
      </w:pPr>
      <w:r>
        <w:rPr>
          <w:sz w:val="24"/>
        </w:rPr>
      </w:r>
    </w:p>
    <w:p>
      <w:pPr>
        <w:pStyle w:val="Normal"/>
        <w:jc w:val="both"/>
        <w:rPr>
          <w:sz w:val="24"/>
          <w:u w:val="single"/>
        </w:rPr>
      </w:pPr>
      <w:r>
        <w:rPr>
          <w:sz w:val="24"/>
          <w:u w:val="single"/>
        </w:rPr>
        <w:t>Slice True-up Costs:</w:t>
      </w:r>
    </w:p>
    <w:p>
      <w:pPr>
        <w:pStyle w:val="Normal"/>
        <w:jc w:val="both"/>
        <w:rPr>
          <w:sz w:val="24"/>
          <w:u w:val="single"/>
        </w:rPr>
      </w:pPr>
      <w:r>
        <w:rPr>
          <w:sz w:val="24"/>
          <w:u w:val="single"/>
        </w:rPr>
      </w:r>
    </w:p>
    <w:p>
      <w:pPr>
        <w:pStyle w:val="Normal"/>
        <w:jc w:val="both"/>
        <w:rPr>
          <w:sz w:val="24"/>
        </w:rPr>
      </w:pPr>
      <w:r>
        <w:rPr>
          <w:sz w:val="24"/>
        </w:rPr>
        <w:t>Clark would pay its proportionate share of all BPA’s True-Up costs associated with operating Slice.</w:t>
      </w:r>
    </w:p>
    <w:p>
      <w:pPr>
        <w:pStyle w:val="Normal"/>
        <w:jc w:val="both"/>
        <w:rPr>
          <w:sz w:val="24"/>
          <w:u w:val="single"/>
        </w:rPr>
      </w:pPr>
      <w:r>
        <w:rPr>
          <w:sz w:val="24"/>
          <w:u w:val="single"/>
        </w:rPr>
      </w:r>
    </w:p>
    <w:p>
      <w:pPr>
        <w:pStyle w:val="Normal"/>
        <w:jc w:val="both"/>
        <w:rPr>
          <w:sz w:val="24"/>
          <w:u w:val="single"/>
        </w:rPr>
      </w:pPr>
      <w:r>
        <w:rPr>
          <w:sz w:val="24"/>
          <w:u w:val="single"/>
        </w:rPr>
        <w:t>Slice Hydro Risk:</w:t>
      </w:r>
    </w:p>
    <w:p>
      <w:pPr>
        <w:pStyle w:val="Normal"/>
        <w:jc w:val="both"/>
        <w:rPr>
          <w:sz w:val="24"/>
          <w:u w:val="single"/>
        </w:rPr>
      </w:pPr>
      <w:r>
        <w:rPr>
          <w:sz w:val="24"/>
          <w:u w:val="single"/>
        </w:rPr>
      </w:r>
    </w:p>
    <w:p>
      <w:pPr>
        <w:pStyle w:val="Normal"/>
        <w:jc w:val="both"/>
        <w:rPr>
          <w:sz w:val="24"/>
        </w:rPr>
      </w:pPr>
      <w:r>
        <w:rPr>
          <w:sz w:val="24"/>
        </w:rPr>
        <w:t>ENA would assume all Slice hydro risk that cause the total amount of megawatt hours derived from slice to fluctuate.  If the total amount of megawatts hours from slice falls short of the planned volume, ENA would provide energy from other sources to keep Clark supplied at the forecast load volume.</w:t>
      </w:r>
    </w:p>
    <w:p>
      <w:pPr>
        <w:pStyle w:val="Normal"/>
        <w:jc w:val="both"/>
        <w:rPr>
          <w:sz w:val="24"/>
        </w:rPr>
      </w:pPr>
      <w:r>
        <w:rPr>
          <w:sz w:val="24"/>
        </w:rPr>
      </w:r>
    </w:p>
    <w:p>
      <w:pPr>
        <w:pStyle w:val="BodyText"/>
        <w:jc w:val="both"/>
        <w:rPr>
          <w:color w:val="000000"/>
          <w:sz w:val="24"/>
          <w:u w:val="single"/>
        </w:rPr>
      </w:pPr>
      <w:r>
        <w:rPr>
          <w:color w:val="000000"/>
          <w:sz w:val="24"/>
          <w:u w:val="single"/>
        </w:rPr>
        <w:t>PacifiCorp Storage and Integration Agreement:</w:t>
      </w:r>
    </w:p>
    <w:p>
      <w:pPr>
        <w:pStyle w:val="BodyText"/>
        <w:jc w:val="both"/>
        <w:rPr>
          <w:color w:val="000000"/>
          <w:sz w:val="24"/>
          <w:u w:val="single"/>
        </w:rPr>
      </w:pPr>
      <w:r>
        <w:rPr>
          <w:color w:val="000000"/>
          <w:sz w:val="24"/>
          <w:u w:val="single"/>
        </w:rPr>
      </w:r>
    </w:p>
    <w:p>
      <w:pPr>
        <w:pStyle w:val="BodyText"/>
        <w:jc w:val="both"/>
        <w:rPr>
          <w:color w:val="FF0000"/>
          <w:sz w:val="24"/>
        </w:rPr>
      </w:pPr>
      <w:r>
        <w:rPr>
          <w:color w:val="000000"/>
          <w:sz w:val="24"/>
        </w:rPr>
        <w:t>ENA’s proposed transaction is subject in all respects to Clark’s receipt of such consents and consensual arrangements from and between Clark and Pacificorp as may be required under Clark’s existing agreements with Pacificorp.  ENA contemplates that PacifiCorp would continue to provide load factoring service, load following service, generation reserve capacity, displacement energy, base capacity, generation reserve capacity.</w:t>
      </w:r>
    </w:p>
    <w:p>
      <w:pPr>
        <w:pStyle w:val="BodyText"/>
        <w:jc w:val="both"/>
        <w:rPr>
          <w:color w:val="FF0000"/>
          <w:sz w:val="24"/>
          <w:u w:val="single"/>
        </w:rPr>
      </w:pPr>
      <w:r>
        <w:rPr>
          <w:color w:val="FF0000"/>
          <w:sz w:val="24"/>
          <w:u w:val="single"/>
        </w:rPr>
      </w:r>
    </w:p>
    <w:p>
      <w:pPr>
        <w:pStyle w:val="BodyText"/>
        <w:jc w:val="both"/>
        <w:rPr>
          <w:sz w:val="24"/>
          <w:u w:val="single"/>
        </w:rPr>
      </w:pPr>
      <w:r>
        <w:rPr>
          <w:sz w:val="24"/>
          <w:u w:val="single"/>
        </w:rPr>
        <w:t>Ownership:</w:t>
      </w:r>
    </w:p>
    <w:p>
      <w:pPr>
        <w:pStyle w:val="BodyText"/>
        <w:jc w:val="both"/>
        <w:rPr>
          <w:sz w:val="24"/>
          <w:u w:val="single"/>
        </w:rPr>
      </w:pPr>
      <w:r>
        <w:rPr>
          <w:sz w:val="24"/>
          <w:u w:val="single"/>
        </w:rPr>
      </w:r>
    </w:p>
    <w:p>
      <w:pPr>
        <w:pStyle w:val="BodyText"/>
        <w:jc w:val="both"/>
        <w:rPr>
          <w:sz w:val="24"/>
        </w:rPr>
      </w:pPr>
      <w:r>
        <w:rPr>
          <w:sz w:val="24"/>
        </w:rPr>
        <w:t>Clark would continue to own the existing River Road plant and all utility assets required for the delivery of energy to its customers. Ownership of any additional power plant successfully developed by ENA at the River Road site is negotiable.</w:t>
      </w:r>
    </w:p>
    <w:p>
      <w:pPr>
        <w:pStyle w:val="BodyText"/>
        <w:jc w:val="both"/>
        <w:rPr>
          <w:sz w:val="24"/>
        </w:rPr>
      </w:pPr>
      <w:r>
        <w:rPr>
          <w:sz w:val="24"/>
        </w:rPr>
      </w:r>
    </w:p>
    <w:p>
      <w:pPr>
        <w:pStyle w:val="BodyText"/>
        <w:jc w:val="both"/>
        <w:rPr>
          <w:sz w:val="24"/>
          <w:u w:val="single"/>
        </w:rPr>
      </w:pPr>
      <w:r>
        <w:rPr>
          <w:sz w:val="24"/>
          <w:u w:val="single"/>
        </w:rPr>
        <w:t>Debt Service:</w:t>
      </w:r>
    </w:p>
    <w:p>
      <w:pPr>
        <w:pStyle w:val="BodyText"/>
        <w:jc w:val="both"/>
        <w:rPr>
          <w:sz w:val="24"/>
          <w:u w:val="single"/>
        </w:rPr>
      </w:pPr>
      <w:r>
        <w:rPr>
          <w:sz w:val="24"/>
          <w:u w:val="single"/>
        </w:rPr>
      </w:r>
    </w:p>
    <w:p>
      <w:pPr>
        <w:pStyle w:val="BodyText"/>
        <w:jc w:val="both"/>
        <w:rPr>
          <w:sz w:val="24"/>
        </w:rPr>
      </w:pPr>
      <w:r>
        <w:rPr>
          <w:sz w:val="24"/>
        </w:rPr>
        <w:t>Clark would continue to be responsible for all debt service associated with all its utility assets; however, ENA is willing to consider an assumption of responsibility for debt service on the River Road facility.</w:t>
      </w:r>
    </w:p>
    <w:p>
      <w:pPr>
        <w:pStyle w:val="BodyText"/>
        <w:jc w:val="both"/>
        <w:rPr>
          <w:sz w:val="24"/>
        </w:rPr>
      </w:pPr>
      <w:r>
        <w:rPr>
          <w:sz w:val="24"/>
        </w:rPr>
      </w:r>
    </w:p>
    <w:p>
      <w:pPr>
        <w:pStyle w:val="BodyText"/>
        <w:jc w:val="both"/>
        <w:rPr>
          <w:sz w:val="24"/>
          <w:u w:val="single"/>
        </w:rPr>
      </w:pPr>
      <w:r>
        <w:rPr>
          <w:sz w:val="24"/>
          <w:u w:val="single"/>
        </w:rPr>
        <w:t>Operation and Maintenance</w:t>
      </w:r>
    </w:p>
    <w:p>
      <w:pPr>
        <w:pStyle w:val="BodyText"/>
        <w:jc w:val="both"/>
        <w:rPr>
          <w:sz w:val="24"/>
          <w:u w:val="single"/>
        </w:rPr>
      </w:pPr>
      <w:r>
        <w:rPr>
          <w:sz w:val="24"/>
          <w:u w:val="single"/>
        </w:rPr>
      </w:r>
    </w:p>
    <w:p>
      <w:pPr>
        <w:pStyle w:val="BodyText"/>
        <w:jc w:val="both"/>
        <w:rPr>
          <w:sz w:val="24"/>
        </w:rPr>
      </w:pPr>
      <w:r>
        <w:rPr>
          <w:sz w:val="24"/>
        </w:rPr>
        <w:t>ENA would provide or arrange for operation and maintenance of the River Road facility pursuant to Clark’s long term service agreement with GE.  In the event the River Road facility needs to be taken out of service, Clark would make that information available to ENA as soon as reasonably possible.  Should Enron proceed with development of an additional plant at the River Road site, ENA would structure the ownership of the facility such that the owner thereof would be responsible for operation and maintenance of the new facility.</w:t>
      </w:r>
    </w:p>
    <w:p>
      <w:pPr>
        <w:pStyle w:val="BodyText"/>
        <w:jc w:val="both"/>
        <w:rPr>
          <w:sz w:val="24"/>
        </w:rPr>
      </w:pPr>
      <w:r>
        <w:rPr>
          <w:sz w:val="24"/>
        </w:rPr>
      </w:r>
    </w:p>
    <w:p>
      <w:pPr>
        <w:pStyle w:val="Heading5"/>
        <w:ind w:hanging="0" w:start="0"/>
        <w:jc w:val="both"/>
        <w:rPr>
          <w:sz w:val="24"/>
        </w:rPr>
      </w:pPr>
      <w:r>
        <w:rPr>
          <w:sz w:val="24"/>
        </w:rPr>
        <w:t>Physical Gas Supply</w:t>
      </w:r>
    </w:p>
    <w:p>
      <w:pPr>
        <w:pStyle w:val="Normal"/>
        <w:rPr>
          <w:sz w:val="24"/>
        </w:rPr>
      </w:pPr>
      <w:r>
        <w:rPr>
          <w:sz w:val="24"/>
        </w:rPr>
      </w:r>
    </w:p>
    <w:p>
      <w:pPr>
        <w:pStyle w:val="Normal"/>
        <w:tabs>
          <w:tab w:val="clear" w:pos="720"/>
          <w:tab w:val="left" w:pos="3960" w:leader="none"/>
          <w:tab w:val="left" w:pos="5280" w:leader="none"/>
          <w:tab w:val="left" w:pos="9180" w:leader="none"/>
        </w:tabs>
        <w:spacing w:lineRule="atLeast" w:line="240"/>
        <w:ind w:end="360"/>
        <w:jc w:val="both"/>
        <w:rPr>
          <w:rFonts w:ascii="TIMES" w:hAnsi="TIMES" w:cs="TIMES"/>
          <w:sz w:val="24"/>
        </w:rPr>
      </w:pPr>
      <w:r>
        <w:rPr>
          <w:rFonts w:cs="TIMES" w:ascii="TIMES" w:hAnsi="TIMES"/>
          <w:sz w:val="24"/>
        </w:rPr>
        <w:t>ENA would provide a base quantity or Daily Contract Quantity (DCQ) of physical gas to River Road. ENA would be responsible for daily scheduling of gas for River Road.  This would include the management of any existing gas supply arrangements.  ENA would be responsible for correcting or settling any imbalances associated with gas for River Road.</w:t>
      </w:r>
    </w:p>
    <w:p>
      <w:pPr>
        <w:pStyle w:val="Normal"/>
        <w:jc w:val="both"/>
        <w:rPr>
          <w:rFonts w:ascii="TIMES" w:hAnsi="TIMES" w:cs="TIMES"/>
          <w:sz w:val="24"/>
        </w:rPr>
      </w:pPr>
      <w:r>
        <w:rPr>
          <w:rFonts w:cs="TIMES" w:ascii="TIMES" w:hAnsi="TIMES"/>
          <w:sz w:val="24"/>
        </w:rPr>
      </w:r>
    </w:p>
    <w:p>
      <w:pPr>
        <w:pStyle w:val="Heading5"/>
        <w:ind w:hanging="0" w:start="0"/>
        <w:jc w:val="both"/>
        <w:rPr>
          <w:sz w:val="24"/>
        </w:rPr>
      </w:pPr>
      <w:r>
        <w:rPr>
          <w:sz w:val="24"/>
        </w:rPr>
        <w:t>Interstate Pipeline Capacity</w:t>
      </w:r>
    </w:p>
    <w:p>
      <w:pPr>
        <w:pStyle w:val="Normal"/>
        <w:rPr>
          <w:sz w:val="24"/>
        </w:rPr>
      </w:pPr>
      <w:r>
        <w:rPr>
          <w:sz w:val="24"/>
        </w:rPr>
      </w:r>
    </w:p>
    <w:p>
      <w:pPr>
        <w:pStyle w:val="Normal"/>
        <w:rPr>
          <w:sz w:val="24"/>
        </w:rPr>
      </w:pPr>
      <w:r>
        <w:rPr>
          <w:sz w:val="24"/>
        </w:rPr>
        <w:t>Clark would purchase or make available a volume of Firm Interstate Pipeline capacity required to meet the daily gas consumption of River Road.  Clark would pay all fixed and variable charges associated with these agreements.  Clark would designate ENA as agent with respect to these Transportation Service Agreements.  As agent, ENA would optimize, to the best of its ability, the use of this capacity.  As agent, its activities would include:</w:t>
      </w:r>
    </w:p>
    <w:p>
      <w:pPr>
        <w:pStyle w:val="Normal"/>
        <w:rPr>
          <w:sz w:val="24"/>
        </w:rPr>
      </w:pPr>
      <w:r>
        <w:rPr>
          <w:sz w:val="24"/>
        </w:rPr>
      </w:r>
    </w:p>
    <w:p>
      <w:pPr>
        <w:pStyle w:val="Normal"/>
        <w:numPr>
          <w:ilvl w:val="0"/>
          <w:numId w:val="2"/>
        </w:numPr>
        <w:tabs>
          <w:tab w:val="clear" w:pos="720"/>
          <w:tab w:val="left" w:pos="360" w:leader="none"/>
        </w:tabs>
        <w:rPr>
          <w:sz w:val="24"/>
        </w:rPr>
      </w:pPr>
      <w:r>
        <w:rPr>
          <w:sz w:val="24"/>
        </w:rPr>
        <w:t>Making nominations and receiving confirmations each day and receiving all reports relating to pipeline imbalances.</w:t>
      </w:r>
    </w:p>
    <w:p>
      <w:pPr>
        <w:pStyle w:val="Normal"/>
        <w:numPr>
          <w:ilvl w:val="0"/>
          <w:numId w:val="2"/>
        </w:numPr>
        <w:tabs>
          <w:tab w:val="clear" w:pos="720"/>
          <w:tab w:val="left" w:pos="360" w:leader="none"/>
        </w:tabs>
        <w:rPr>
          <w:sz w:val="24"/>
        </w:rPr>
      </w:pPr>
      <w:r>
        <w:rPr>
          <w:sz w:val="24"/>
        </w:rPr>
        <w:t>Aggregation of Transporter’s invoices onto monthly Marketer invoices.</w:t>
      </w:r>
    </w:p>
    <w:p>
      <w:pPr>
        <w:pStyle w:val="Normal"/>
        <w:numPr>
          <w:ilvl w:val="0"/>
          <w:numId w:val="2"/>
        </w:numPr>
        <w:tabs>
          <w:tab w:val="clear" w:pos="720"/>
          <w:tab w:val="left" w:pos="360" w:leader="none"/>
        </w:tabs>
        <w:rPr>
          <w:sz w:val="24"/>
        </w:rPr>
      </w:pPr>
      <w:r>
        <w:rPr>
          <w:sz w:val="24"/>
        </w:rPr>
        <w:t>Optimization of daily and seasonally unutilized transportation capacity, given operational constraints of Transporter.  Benefits of such transactions would be split equally between Clark and ENA.</w:t>
      </w:r>
    </w:p>
    <w:p>
      <w:pPr>
        <w:pStyle w:val="Normal"/>
        <w:tabs>
          <w:tab w:val="clear" w:pos="720"/>
          <w:tab w:val="left" w:pos="3960" w:leader="none"/>
          <w:tab w:val="left" w:pos="5280" w:leader="none"/>
          <w:tab w:val="left" w:pos="9180" w:leader="none"/>
        </w:tabs>
        <w:spacing w:lineRule="atLeast" w:line="240"/>
        <w:ind w:end="360"/>
        <w:jc w:val="both"/>
        <w:rPr>
          <w:rFonts w:ascii="TIMES" w:hAnsi="TIMES" w:cs="TIMES"/>
          <w:sz w:val="24"/>
        </w:rPr>
      </w:pPr>
      <w:r>
        <w:rPr>
          <w:rFonts w:cs="TIMES" w:ascii="TIMES" w:hAnsi="TIMES"/>
          <w:sz w:val="24"/>
        </w:rPr>
      </w:r>
    </w:p>
    <w:p>
      <w:pPr>
        <w:pStyle w:val="Normal"/>
        <w:tabs>
          <w:tab w:val="clear" w:pos="720"/>
          <w:tab w:val="left" w:pos="3960" w:leader="none"/>
          <w:tab w:val="left" w:pos="5280" w:leader="none"/>
          <w:tab w:val="left" w:pos="9180" w:leader="none"/>
        </w:tabs>
        <w:spacing w:lineRule="atLeast" w:line="240"/>
        <w:ind w:end="360"/>
        <w:jc w:val="both"/>
        <w:rPr>
          <w:sz w:val="24"/>
          <w:u w:val="single"/>
        </w:rPr>
      </w:pPr>
      <w:r>
        <w:rPr>
          <w:sz w:val="24"/>
          <w:u w:val="single"/>
        </w:rPr>
        <w:t>Settlement Accounts</w:t>
      </w:r>
    </w:p>
    <w:p>
      <w:pPr>
        <w:pStyle w:val="Normal"/>
        <w:tabs>
          <w:tab w:val="clear" w:pos="720"/>
          <w:tab w:val="left" w:pos="3960" w:leader="none"/>
          <w:tab w:val="left" w:pos="5280" w:leader="none"/>
          <w:tab w:val="left" w:pos="9180" w:leader="none"/>
        </w:tabs>
        <w:spacing w:lineRule="atLeast" w:line="240"/>
        <w:ind w:end="360"/>
        <w:jc w:val="both"/>
        <w:rPr>
          <w:sz w:val="24"/>
          <w:u w:val="single"/>
        </w:rPr>
      </w:pPr>
      <w:r>
        <w:rPr>
          <w:sz w:val="24"/>
          <w:u w:val="single"/>
        </w:rPr>
      </w:r>
    </w:p>
    <w:p>
      <w:pPr>
        <w:pStyle w:val="Normal"/>
        <w:tabs>
          <w:tab w:val="clear" w:pos="720"/>
          <w:tab w:val="left" w:pos="3960" w:leader="none"/>
          <w:tab w:val="left" w:pos="5280" w:leader="none"/>
          <w:tab w:val="left" w:pos="9180" w:leader="none"/>
        </w:tabs>
        <w:spacing w:lineRule="atLeast" w:line="240"/>
        <w:ind w:end="360"/>
        <w:jc w:val="both"/>
        <w:rPr>
          <w:sz w:val="24"/>
        </w:rPr>
      </w:pPr>
      <w:r>
        <w:rPr>
          <w:sz w:val="24"/>
        </w:rPr>
        <w:t xml:space="preserve">The transaction would be structured around a certain set of load growth, tariff rate, and plant outage assumptions.  If any of those factors deviate significantly from the assumptions laid out in the transaction, settlement accounts would be established to compensate the affected party as a result.  </w:t>
      </w:r>
    </w:p>
    <w:p>
      <w:pPr>
        <w:pStyle w:val="Normal"/>
        <w:tabs>
          <w:tab w:val="clear" w:pos="720"/>
          <w:tab w:val="left" w:pos="3960" w:leader="none"/>
          <w:tab w:val="left" w:pos="5280" w:leader="none"/>
          <w:tab w:val="left" w:pos="9180" w:leader="none"/>
        </w:tabs>
        <w:spacing w:lineRule="atLeast" w:line="240"/>
        <w:ind w:end="360"/>
        <w:jc w:val="both"/>
        <w:rPr>
          <w:sz w:val="24"/>
          <w:u w:val="single"/>
        </w:rPr>
      </w:pPr>
      <w:r>
        <w:rPr>
          <w:sz w:val="24"/>
          <w:u w:val="single"/>
        </w:rPr>
      </w:r>
    </w:p>
    <w:p>
      <w:pPr>
        <w:pStyle w:val="Normal"/>
        <w:tabs>
          <w:tab w:val="clear" w:pos="720"/>
          <w:tab w:val="left" w:pos="3960" w:leader="none"/>
          <w:tab w:val="left" w:pos="5280" w:leader="none"/>
          <w:tab w:val="left" w:pos="9180" w:leader="none"/>
        </w:tabs>
        <w:spacing w:lineRule="atLeast" w:line="240"/>
        <w:ind w:end="360"/>
        <w:jc w:val="both"/>
        <w:rPr>
          <w:sz w:val="24"/>
          <w:u w:val="single"/>
        </w:rPr>
      </w:pPr>
      <w:r>
        <w:rPr>
          <w:sz w:val="24"/>
          <w:u w:val="single"/>
        </w:rPr>
        <w:t>Development of an Additional Power Plant at River Road</w:t>
      </w:r>
    </w:p>
    <w:p>
      <w:pPr>
        <w:pStyle w:val="Normal"/>
        <w:tabs>
          <w:tab w:val="clear" w:pos="720"/>
          <w:tab w:val="left" w:pos="3960" w:leader="none"/>
          <w:tab w:val="left" w:pos="5280" w:leader="none"/>
          <w:tab w:val="left" w:pos="9180" w:leader="none"/>
        </w:tabs>
        <w:spacing w:lineRule="atLeast" w:line="240"/>
        <w:ind w:end="360"/>
        <w:jc w:val="both"/>
        <w:rPr>
          <w:sz w:val="24"/>
          <w:u w:val="single"/>
        </w:rPr>
      </w:pPr>
      <w:r>
        <w:rPr>
          <w:sz w:val="24"/>
          <w:u w:val="single"/>
        </w:rPr>
      </w:r>
    </w:p>
    <w:p>
      <w:pPr>
        <w:pStyle w:val="Normal"/>
        <w:jc w:val="both"/>
        <w:rPr>
          <w:sz w:val="24"/>
        </w:rPr>
      </w:pPr>
      <w:r>
        <w:rPr>
          <w:sz w:val="24"/>
        </w:rPr>
        <w:t>ENA proposes a two-year option agreement whereby ENA would pay periodic option premiums to secure the right to investigate the feasibility of developing an additional generation facility at the River Road site and to develop the site.  If ENA elected to proceed with development of such a facility, ENA (or its designee) would pay Clark a mutually agreed strike price for full rights to the River Road site.</w:t>
      </w:r>
    </w:p>
    <w:p>
      <w:pPr>
        <w:pStyle w:val="Normal"/>
        <w:jc w:val="both"/>
        <w:rPr>
          <w:sz w:val="24"/>
          <w:u w:val="single"/>
        </w:rPr>
      </w:pPr>
      <w:r>
        <w:rPr>
          <w:sz w:val="24"/>
          <w:u w:val="single"/>
        </w:rPr>
      </w:r>
    </w:p>
    <w:p>
      <w:pPr>
        <w:pStyle w:val="Normal"/>
        <w:jc w:val="both"/>
        <w:rPr>
          <w:sz w:val="24"/>
          <w:u w:val="single"/>
        </w:rPr>
      </w:pPr>
      <w:r>
        <w:rPr>
          <w:sz w:val="24"/>
          <w:u w:val="single"/>
        </w:rPr>
      </w:r>
    </w:p>
    <w:p>
      <w:pPr>
        <w:pStyle w:val="Normal"/>
        <w:jc w:val="both"/>
        <w:rPr>
          <w:sz w:val="24"/>
        </w:rPr>
      </w:pPr>
      <w:r>
        <w:rPr>
          <w:sz w:val="24"/>
        </w:rPr>
      </w:r>
    </w:p>
    <w:p>
      <w:pPr>
        <w:pStyle w:val="BodyText2"/>
        <w:ind w:start="0" w:end="0"/>
        <w:rPr>
          <w:b/>
          <w:color w:val="auto"/>
          <w:sz w:val="24"/>
        </w:rPr>
      </w:pPr>
      <w:r>
        <w:rPr>
          <w:b/>
          <w:color w:val="auto"/>
          <w:sz w:val="24"/>
        </w:rPr>
        <w:t>THE ITEMS SET FORTH IN THIS OUTLINE ARE FOR DISCUSSION PURPOSES ONLY TO SERVE AS A BASIS FOR FURTHER DISCUSSIONS AND NEGOTIATIONS AMONG THE PARTIES.   ALL PRICES AND TERMS OUTLINED ABOVE ARE SUBJECT TO CHANGE UNTIL SUCH TIME, IF EVER, THAT DEFINITIVE AGREEMENTS MAY BE SIGNED AND CONSENTS OR AGREEMENTS OF ALL PARTIES HAVING AN INTEREST IN CLARK’S ASSETS AND OPERATIONS AND/OR THE PROPOSED TRANSACTION ARE OBTAINED.  THESE DISCUSSION ITEMS ARE NOT INTENDED TO CREATE A BINDING OR ENFORCEABLE AGREEMENT OR CONTRACT OR TO BE COMPLETE AND INCLUSIVE OF ALL THE TERMS OF THE SUBJECT TRANSACTION.  FURTHERMORE, THESE DISCUSSION ITEMS ARE NOT AN OFFER, COMMITMENT OR AGREEMENT BY ENA OR ANY AFFILIATE OF ENA TO ENTER INTO A BINDING AGREEMENT OR CONTRACT IN THE FUTURE.</w:t>
      </w:r>
    </w:p>
    <w:p>
      <w:pPr>
        <w:pStyle w:val="Normal"/>
        <w:jc w:val="both"/>
        <w:rPr>
          <w:b/>
          <w:color w:val="auto"/>
          <w:sz w:val="24"/>
        </w:rPr>
      </w:pPr>
      <w:r>
        <w:rPr>
          <w:b/>
          <w:color w:val="auto"/>
          <w:sz w:val="24"/>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/mnt/main-storage/datasets/enron-docs/doc/Term_sheet_2_2_01.doc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Confidential Material not to be Disclosed to Outside Parties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32"/>
    </w:rPr>
  </w:style>
  <w:style w:type="paragraph" w:styleId="Heading2">
    <w:name w:val="heading 2"/>
    <w:basedOn w:val="Normal"/>
    <w:next w:val="Normal"/>
    <w:qFormat/>
    <w:pPr>
      <w:keepNext w:val="true"/>
      <w:numPr>
        <w:ilvl w:val="1"/>
        <w:numId w:val="1"/>
      </w:numPr>
      <w:jc w:val="center"/>
      <w:outlineLvl w:val="1"/>
    </w:pPr>
    <w:rPr>
      <w:b/>
      <w:sz w:val="32"/>
    </w:rPr>
  </w:style>
  <w:style w:type="paragraph" w:styleId="Heading3">
    <w:name w:val="heading 3"/>
    <w:basedOn w:val="Normal"/>
    <w:next w:val="Normal"/>
    <w:qFormat/>
    <w:pPr>
      <w:keepNext w:val="true"/>
      <w:numPr>
        <w:ilvl w:val="2"/>
        <w:numId w:val="1"/>
      </w:numPr>
      <w:jc w:val="center"/>
      <w:outlineLvl w:val="2"/>
    </w:pPr>
    <w:rPr>
      <w:b/>
      <w:sz w:val="28"/>
    </w:rPr>
  </w:style>
  <w:style w:type="paragraph" w:styleId="Heading4">
    <w:name w:val="heading 4"/>
    <w:basedOn w:val="Normal"/>
    <w:next w:val="Normal"/>
    <w:qFormat/>
    <w:pPr>
      <w:keepNext w:val="true"/>
      <w:numPr>
        <w:ilvl w:val="3"/>
        <w:numId w:val="1"/>
      </w:numPr>
      <w:outlineLvl w:val="3"/>
    </w:pPr>
    <w:rPr>
      <w:sz w:val="28"/>
      <w:u w:val="single"/>
    </w:rPr>
  </w:style>
  <w:style w:type="paragraph" w:styleId="Heading5">
    <w:name w:val="heading 5"/>
    <w:basedOn w:val="Normal"/>
    <w:next w:val="Normal"/>
    <w:qFormat/>
    <w:pPr>
      <w:keepNext w:val="true"/>
      <w:numPr>
        <w:ilvl w:val="4"/>
        <w:numId w:val="1"/>
      </w:numPr>
      <w:outlineLvl w:val="4"/>
    </w:pPr>
    <w:rPr>
      <w:sz w:val="22"/>
      <w:u w:val="single"/>
    </w:rPr>
  </w:style>
  <w:style w:type="paragraph" w:styleId="Heading6">
    <w:name w:val="heading 6"/>
    <w:basedOn w:val="Normal"/>
    <w:next w:val="Normal"/>
    <w:qFormat/>
    <w:pPr>
      <w:keepNext w:val="true"/>
      <w:numPr>
        <w:ilvl w:val="5"/>
        <w:numId w:val="1"/>
      </w:numPr>
      <w:jc w:val="both"/>
      <w:outlineLvl w:val="5"/>
    </w:pPr>
    <w:rPr>
      <w:sz w:val="22"/>
      <w:u w:val="single"/>
    </w:rPr>
  </w:style>
  <w:style w:type="paragraph" w:styleId="Heading7">
    <w:name w:val="heading 7"/>
    <w:basedOn w:val="Normal"/>
    <w:next w:val="Normal"/>
    <w:qFormat/>
    <w:pPr>
      <w:keepNext w:val="true"/>
      <w:numPr>
        <w:ilvl w:val="6"/>
        <w:numId w:val="1"/>
      </w:numPr>
      <w:jc w:val="center"/>
      <w:outlineLvl w:val="6"/>
    </w:pPr>
    <w:rPr>
      <w:b/>
      <w:sz w:val="22"/>
    </w:rPr>
  </w:style>
  <w:style w:type="paragraph" w:styleId="Heading8">
    <w:name w:val="heading 8"/>
    <w:basedOn w:val="Normal"/>
    <w:next w:val="Normal"/>
    <w:qFormat/>
    <w:pPr>
      <w:keepNext w:val="true"/>
      <w:numPr>
        <w:ilvl w:val="7"/>
        <w:numId w:val="1"/>
      </w:numPr>
      <w:jc w:val="center"/>
      <w:outlineLvl w:val="7"/>
    </w:pPr>
    <w:rPr>
      <w:sz w:val="24"/>
    </w:rPr>
  </w:style>
  <w:style w:type="paragraph" w:styleId="Heading9">
    <w:name w:val="heading 9"/>
    <w:basedOn w:val="Normal"/>
    <w:next w:val="Normal"/>
    <w:qFormat/>
    <w:pPr>
      <w:keepNext w:val="true"/>
      <w:numPr>
        <w:ilvl w:val="8"/>
        <w:numId w:val="1"/>
      </w:numPr>
      <w:jc w:val="both"/>
      <w:outlineLvl w:val="8"/>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ofFigures">
    <w:name w:val="Table of Figures"/>
    <w:basedOn w:val="Normal"/>
    <w:next w:val="Normal"/>
    <w:qFormat/>
    <w:pPr>
      <w:ind w:hanging="400" w:start="400" w:end="0"/>
    </w:pPr>
    <w:rPr/>
  </w:style>
  <w:style w:type="paragraph" w:styleId="BodyText2">
    <w:name w:val="Body Text 2"/>
    <w:basedOn w:val="Normal"/>
    <w:qFormat/>
    <w:pPr>
      <w:ind w:hanging="0" w:start="540" w:end="0"/>
      <w:jc w:val="both"/>
    </w:pPr>
    <w:rPr>
      <w:color w:val="0000FF"/>
      <w:sz w:val="22"/>
    </w:rPr>
  </w:style>
  <w:style w:type="paragraph" w:styleId="BodyText3">
    <w:name w:val="Body Text 3"/>
    <w:basedOn w:val="Normal"/>
    <w:qFormat/>
    <w:pPr>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540" w:start="540" w:end="0"/>
      <w:jc w:val="both"/>
    </w:pPr>
    <w:rPr>
      <w:color w:val="FF0000"/>
    </w:rPr>
  </w:style>
  <w:style w:type="paragraph" w:styleId="BlockText">
    <w:name w:val="Block Text"/>
    <w:basedOn w:val="Normal"/>
    <w:qFormat/>
    <w:pPr>
      <w:tabs>
        <w:tab w:val="clear" w:pos="720"/>
        <w:tab w:val="left" w:pos="540" w:leader="none"/>
      </w:tabs>
      <w:ind w:hanging="540" w:start="540" w:end="-360"/>
      <w:jc w:val="both"/>
    </w:pPr>
    <w:rPr>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2001-02-01T22:38:00Z</dcterms:created>
  <dc:creator>mknippa</dc:creator>
  <dc:description/>
  <dc:language>en-CA</dc:language>
  <cp:lastModifiedBy>dfuller</cp:lastModifiedBy>
  <cp:lastPrinted>2001-02-01T16:55:00Z</cp:lastPrinted>
  <dcterms:modified xsi:type="dcterms:W3CDTF">2001-02-01T22:38:00Z</dcterms:modified>
  <cp:revision>2</cp:revision>
  <dc:subject/>
  <dc:title>INTRODUCTION</dc:title>
</cp:coreProperties>
</file>