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media/image3.wmf" ContentType="image/x-wmf"/>
  <Override PartName="/word/media/image4.wmf" ContentType="image/x-wmf"/>
  <Override PartName="/word/media/image5.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Specialist Term Sheet</w:t>
      </w:r>
    </w:p>
    <w:p>
      <w:pPr>
        <w:pStyle w:val="Normal"/>
        <w:autoSpaceDE w:val="false"/>
        <w:rPr>
          <w:rFonts w:ascii="Arial" w:hAnsi="Arial" w:cs="Arial"/>
          <w:b/>
          <w:bCs/>
          <w:sz w:val="32"/>
          <w:szCs w:val="20"/>
        </w:rPr>
      </w:pPr>
      <w:r>
        <w:rPr>
          <w:rFonts w:cs="Arial" w:ascii="Arial" w:hAnsi="Arial"/>
          <w:b/>
          <w:bCs/>
          <w:sz w:val="32"/>
          <w:szCs w:val="20"/>
        </w:rPr>
      </w:r>
    </w:p>
    <w:p>
      <w:pPr>
        <w:pStyle w:val="Heading2"/>
        <w:autoSpaceDE w:val="false"/>
        <w:ind w:hanging="0" w:start="0"/>
        <w:rPr>
          <w:szCs w:val="20"/>
        </w:rPr>
      </w:pPr>
      <w:r>
        <w:rPr>
          <w:szCs w:val="20"/>
        </w:rPr>
        <w:t>Definitions</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Exchange</w:t>
        <w:tab/>
        <w:t>Futures Exchange that is regulated by the CFTC</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e-Exchange:</w:t>
        <w:tab/>
        <w:t>Exchange branded many-to-many electronic marketplace.</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Exchange partner electronic marketplaces:</w:t>
        <w:tab/>
        <w:t>Affiliated electronic marketplaces with which Exchange has a contractual agreement to post prices.</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Technology Provider:</w:t>
        <w:tab/>
        <w:t>Entity providing technology and technology services to the Exchange</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Principal platform:</w:t>
        <w:tab/>
        <w:t>Specialist backed one-to-many Exchange</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Specialist:</w:t>
        <w:tab/>
        <w:t>Market maker that guarantees a minimum spread and price depth for certain products</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Specialist Manager:</w:t>
        <w:tab/>
        <w:t>Software that allows Specialist to manage price and volume matching for its Specialist products.</w:t>
      </w:r>
    </w:p>
    <w:p>
      <w:pPr>
        <w:pStyle w:val="Normal"/>
        <w:autoSpaceDE w:val="false"/>
        <w:ind w:hanging="4320" w:start="4320" w:end="0"/>
        <w:rPr>
          <w:rFonts w:ascii="Arial" w:hAnsi="Arial" w:cs="Arial"/>
          <w:sz w:val="20"/>
          <w:szCs w:val="20"/>
        </w:rPr>
      </w:pPr>
      <w:r>
        <w:rPr>
          <w:rFonts w:cs="Arial" w:ascii="Arial" w:hAnsi="Arial"/>
          <w:sz w:val="20"/>
          <w:szCs w:val="20"/>
        </w:rPr>
      </w:r>
    </w:p>
    <w:p>
      <w:pPr>
        <w:pStyle w:val="Normal"/>
        <w:numPr>
          <w:ilvl w:val="0"/>
          <w:numId w:val="3"/>
        </w:numPr>
        <w:tabs>
          <w:tab w:val="clear" w:pos="720"/>
          <w:tab w:val="left" w:pos="0" w:leader="none"/>
        </w:tabs>
        <w:autoSpaceDE w:val="false"/>
        <w:ind w:hanging="0" w:start="0" w:end="0"/>
        <w:rPr>
          <w:rFonts w:ascii="Arial" w:hAnsi="Arial" w:cs="Arial"/>
          <w:b/>
          <w:bCs/>
          <w:sz w:val="20"/>
          <w:szCs w:val="20"/>
        </w:rPr>
      </w:pPr>
      <w:r>
        <w:rPr>
          <w:rFonts w:cs="Arial" w:ascii="Arial" w:hAnsi="Arial"/>
          <w:b/>
          <w:bCs/>
          <w:sz w:val="20"/>
          <w:szCs w:val="20"/>
        </w:rPr>
        <w:t>General Diagram</w:t>
        <w:b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r>
      <w:r>
        <mc:AlternateContent>
          <mc:Choice Requires="wps">
            <w:drawing>
              <wp:anchor behindDoc="0" distT="0" distB="0" distL="114935" distR="114935" simplePos="0" locked="0" layoutInCell="1" allowOverlap="1" relativeHeight="18">
                <wp:simplePos x="0" y="0"/>
                <wp:positionH relativeFrom="column">
                  <wp:posOffset>800100</wp:posOffset>
                </wp:positionH>
                <wp:positionV relativeFrom="paragraph">
                  <wp:posOffset>4445</wp:posOffset>
                </wp:positionV>
                <wp:extent cx="1295400" cy="501650"/>
                <wp:effectExtent l="0" t="0" r="0" b="0"/>
                <wp:wrapNone/>
                <wp:docPr id="1" name="Frame2"/>
                <a:graphic xmlns:a="http://schemas.openxmlformats.org/drawingml/2006/main">
                  <a:graphicData uri="http://schemas.microsoft.com/office/word/2010/wordprocessingShape">
                    <wps:wsp>
                      <wps:cNvSpPr txBox="1"/>
                      <wps:spPr>
                        <a:xfrm>
                          <a:off x="0" y="0"/>
                          <a:ext cx="1295400" cy="501650"/>
                        </a:xfrm>
                        <a:prstGeom prst="rect"/>
                        <a:solidFill>
                          <a:srgbClr val="FFFFFF">
                            <a:alpha val="0"/>
                          </a:srgbClr>
                        </a:solidFill>
                      </wps:spPr>
                      <wps:txbx>
                        <w:txbxContent>
                          <w:p>
                            <w:pPr>
                              <w:pStyle w:val="Normal"/>
                              <w:autoSpaceDE w:val="false"/>
                              <w:jc w:val="center"/>
                              <w:rPr>
                                <w:color w:val="000000"/>
                                <w:sz w:val="28"/>
                                <w:szCs w:val="28"/>
                              </w:rPr>
                            </w:pPr>
                            <w:r>
                              <w:rPr>
                                <w:color w:val="000000"/>
                                <w:sz w:val="28"/>
                                <w:szCs w:val="28"/>
                              </w:rPr>
                              <w:t xml:space="preserve">Transaction Database </w:t>
                            </w:r>
                          </w:p>
                        </w:txbxContent>
                      </wps:txbx>
                      <wps:bodyPr anchor="t" lIns="92075" tIns="46355" rIns="92075" bIns="46355">
                        <a:spAutoFit/>
                      </wps:bodyPr>
                    </wps:wsp>
                  </a:graphicData>
                </a:graphic>
              </wp:anchor>
            </w:drawing>
          </mc:Choice>
          <mc:Fallback>
            <w:pict>
              <v:rect fillcolor="#FFFFFF" style="position:absolute;rotation:-0;width:102pt;height:39.5pt;mso-wrap-distance-left:9.05pt;mso-wrap-distance-right:9.05pt;mso-wrap-distance-top:0pt;mso-wrap-distance-bottom:0pt;margin-top:0.35pt;mso-position-vertical-relative:text;margin-left:63pt;mso-position-horizontal-relative:text">
                <v:fill opacity="0f"/>
                <v:textbox inset="0.100694444444444in,0.0506944444444444in,0.100694444444444in,0.0506944444444444in">
                  <w:txbxContent>
                    <w:p>
                      <w:pPr>
                        <w:pStyle w:val="Normal"/>
                        <w:autoSpaceDE w:val="false"/>
                        <w:jc w:val="center"/>
                        <w:rPr>
                          <w:color w:val="000000"/>
                          <w:sz w:val="28"/>
                          <w:szCs w:val="28"/>
                        </w:rPr>
                      </w:pPr>
                      <w:r>
                        <w:rPr>
                          <w:color w:val="000000"/>
                          <w:sz w:val="28"/>
                          <w:szCs w:val="28"/>
                        </w:rPr>
                        <w:t xml:space="preserve">Transaction Database </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-571500</wp:posOffset>
                </wp:positionH>
                <wp:positionV relativeFrom="paragraph">
                  <wp:posOffset>4445</wp:posOffset>
                </wp:positionV>
                <wp:extent cx="1295400" cy="297180"/>
                <wp:effectExtent l="0" t="0" r="0" b="0"/>
                <wp:wrapNone/>
                <wp:docPr id="2" name="Frame1"/>
                <a:graphic xmlns:a="http://schemas.openxmlformats.org/drawingml/2006/main">
                  <a:graphicData uri="http://schemas.microsoft.com/office/word/2010/wordprocessingShape">
                    <wps:wsp>
                      <wps:cNvSpPr txBox="1"/>
                      <wps:spPr>
                        <a:xfrm>
                          <a:off x="0" y="0"/>
                          <a:ext cx="1295400" cy="297180"/>
                        </a:xfrm>
                        <a:prstGeom prst="rect"/>
                        <a:solidFill>
                          <a:srgbClr val="FFFFFF">
                            <a:alpha val="0"/>
                          </a:srgbClr>
                        </a:solidFill>
                      </wps:spPr>
                      <wps:txbx>
                        <w:txbxContent>
                          <w:p>
                            <w:pPr>
                              <w:pStyle w:val="Heading6"/>
                              <w:ind w:hanging="0" w:start="0"/>
                              <w:rPr/>
                            </w:pPr>
                            <w:r>
                              <w:rPr/>
                              <w:t>Specialists</w:t>
                            </w:r>
                          </w:p>
                        </w:txbxContent>
                      </wps:txbx>
                      <wps:bodyPr anchor="t" lIns="92075" tIns="46355" rIns="92075" bIns="46355">
                        <a:spAutoFit/>
                      </wps:bodyPr>
                    </wps:wsp>
                  </a:graphicData>
                </a:graphic>
              </wp:anchor>
            </w:drawing>
          </mc:Choice>
          <mc:Fallback>
            <w:pict>
              <v:rect fillcolor="#FFFFFF" style="position:absolute;rotation:-0;width:102pt;height:23.4pt;mso-wrap-distance-left:9.05pt;mso-wrap-distance-right:9.05pt;mso-wrap-distance-top:0pt;mso-wrap-distance-bottom:0pt;margin-top:0.35pt;mso-position-vertical-relative:text;margin-left:-45pt;mso-position-horizontal-relative:text">
                <v:fill opacity="0f"/>
                <v:textbox inset="0.100694444444444in,0.0506944444444444in,0.100694444444444in,0.0506944444444444in">
                  <w:txbxContent>
                    <w:p>
                      <w:pPr>
                        <w:pStyle w:val="Heading6"/>
                        <w:ind w:hanging="0" w:start="0"/>
                        <w:rPr/>
                      </w:pPr>
                      <w:r>
                        <w:rPr/>
                        <w:t>Specialists</w:t>
                      </w:r>
                    </w:p>
                  </w:txbxContent>
                </v:textbox>
                <w10:wrap type="none"/>
              </v:rect>
            </w:pict>
          </mc:Fallback>
        </mc:AlternateContent>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7">
            <wp:simplePos x="0" y="0"/>
            <wp:positionH relativeFrom="column">
              <wp:posOffset>4343400</wp:posOffset>
            </wp:positionH>
            <wp:positionV relativeFrom="paragraph">
              <wp:posOffset>86995</wp:posOffset>
            </wp:positionV>
            <wp:extent cx="1104900" cy="846455"/>
            <wp:effectExtent l="0" t="0" r="0" b="0"/>
            <wp:wrapNone/>
            <wp:docPr id="3" name="j02857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0285778" descr="" title=""/>
                    <pic:cNvPicPr>
                      <a:picLocks noChangeAspect="1" noChangeArrowheads="1"/>
                    </pic:cNvPicPr>
                  </pic:nvPicPr>
                  <pic:blipFill>
                    <a:blip r:embed="rId2"/>
                    <a:srcRect l="-20" t="-26" r="-20" b="-26"/>
                    <a:stretch>
                      <a:fillRect/>
                    </a:stretch>
                  </pic:blipFill>
                  <pic:spPr bwMode="auto">
                    <a:xfrm>
                      <a:off x="0" y="0"/>
                      <a:ext cx="1104900" cy="846455"/>
                    </a:xfrm>
                    <a:prstGeom prst="rect">
                      <a:avLst/>
                    </a:prstGeom>
                    <a:noFill/>
                  </pic:spPr>
                </pic:pic>
              </a:graphicData>
            </a:graphic>
          </wp:anchor>
        </w:drawing>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r>
      <w:r>
        <mc:AlternateContent>
          <mc:Choice Requires="wps">
            <w:drawing>
              <wp:anchor behindDoc="0" distT="0" distB="0" distL="114935" distR="114935" simplePos="0" locked="0" layoutInCell="1" allowOverlap="1" relativeHeight="20">
                <wp:simplePos x="0" y="0"/>
                <wp:positionH relativeFrom="column">
                  <wp:posOffset>5257800</wp:posOffset>
                </wp:positionH>
                <wp:positionV relativeFrom="paragraph">
                  <wp:posOffset>55245</wp:posOffset>
                </wp:positionV>
                <wp:extent cx="1257300" cy="501650"/>
                <wp:effectExtent l="0" t="0" r="0" b="0"/>
                <wp:wrapNone/>
                <wp:docPr id="4" name="Frame3"/>
                <a:graphic xmlns:a="http://schemas.openxmlformats.org/drawingml/2006/main">
                  <a:graphicData uri="http://schemas.microsoft.com/office/word/2010/wordprocessingShape">
                    <wps:wsp>
                      <wps:cNvSpPr txBox="1"/>
                      <wps:spPr>
                        <a:xfrm>
                          <a:off x="0" y="0"/>
                          <a:ext cx="1257300" cy="501650"/>
                        </a:xfrm>
                        <a:prstGeom prst="rect"/>
                        <a:solidFill>
                          <a:srgbClr val="FFFFFF">
                            <a:alpha val="0"/>
                          </a:srgbClr>
                        </a:solidFill>
                      </wps:spPr>
                      <wps:txbx>
                        <w:txbxContent>
                          <w:p>
                            <w:pPr>
                              <w:pStyle w:val="Heading4"/>
                              <w:ind w:hanging="0" w:start="0"/>
                              <w:rPr/>
                            </w:pPr>
                            <w:r>
                              <w:rPr/>
                              <w:t>Principal Platform</w:t>
                            </w:r>
                          </w:p>
                        </w:txbxContent>
                      </wps:txbx>
                      <wps:bodyPr anchor="t" lIns="92075" tIns="46355" rIns="92075" bIns="46355">
                        <a:spAutoFit/>
                      </wps:bodyPr>
                    </wps:wsp>
                  </a:graphicData>
                </a:graphic>
              </wp:anchor>
            </w:drawing>
          </mc:Choice>
          <mc:Fallback>
            <w:pict>
              <v:rect fillcolor="#FFFFFF" style="position:absolute;rotation:-0;width:99pt;height:39.5pt;mso-wrap-distance-left:9.05pt;mso-wrap-distance-right:9.05pt;mso-wrap-distance-top:0pt;mso-wrap-distance-bottom:0pt;margin-top:4.35pt;mso-position-vertical-relative:text;margin-left:414pt;mso-position-horizontal-relative:text">
                <v:fill opacity="0f"/>
                <v:textbox inset="0.100694444444444in,0.0506944444444444in,0.100694444444444in,0.0506944444444444in">
                  <w:txbxContent>
                    <w:p>
                      <w:pPr>
                        <w:pStyle w:val="Heading4"/>
                        <w:ind w:hanging="0" w:start="0"/>
                        <w:rPr/>
                      </w:pPr>
                      <w:r>
                        <w:rPr/>
                        <w:t>Principal Platform</w:t>
                      </w:r>
                    </w:p>
                  </w:txbxContent>
                </v:textbox>
                <w10:wrap type="none"/>
              </v:rect>
            </w:pict>
          </mc:Fallback>
        </mc:AlternateContent>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5">
            <wp:simplePos x="0" y="0"/>
            <wp:positionH relativeFrom="column">
              <wp:posOffset>1028700</wp:posOffset>
            </wp:positionH>
            <wp:positionV relativeFrom="paragraph">
              <wp:posOffset>137795</wp:posOffset>
            </wp:positionV>
            <wp:extent cx="1043305" cy="972185"/>
            <wp:effectExtent l="0" t="0" r="0" b="0"/>
            <wp:wrapNone/>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3"/>
                    <a:srcRect l="-26" t="-28" r="-26" b="-28"/>
                    <a:stretch>
                      <a:fillRect/>
                    </a:stretch>
                  </pic:blipFill>
                  <pic:spPr bwMode="auto">
                    <a:xfrm>
                      <a:off x="0" y="0"/>
                      <a:ext cx="1043305" cy="972185"/>
                    </a:xfrm>
                    <a:prstGeom prst="rect">
                      <a:avLst/>
                    </a:prstGeom>
                    <a:noFill/>
                  </pic:spPr>
                </pic:pic>
              </a:graphicData>
            </a:graphic>
          </wp:anchor>
        </w:drawing>
        <mc:AlternateContent>
          <mc:Choice Requires="wps">
            <w:drawing>
              <wp:anchor behindDoc="0" distT="0" distB="0" distL="114935" distR="114935" simplePos="0" locked="0" layoutInCell="1" allowOverlap="1" relativeHeight="13">
                <wp:simplePos x="0" y="0"/>
                <wp:positionH relativeFrom="column">
                  <wp:posOffset>2400300</wp:posOffset>
                </wp:positionH>
                <wp:positionV relativeFrom="paragraph">
                  <wp:posOffset>137795</wp:posOffset>
                </wp:positionV>
                <wp:extent cx="2171700" cy="342900"/>
                <wp:effectExtent l="0" t="26035" r="0" b="26035"/>
                <wp:wrapNone/>
                <wp:docPr id="6" name=""/>
                <a:graphic xmlns:a="http://schemas.openxmlformats.org/drawingml/2006/main">
                  <a:graphicData uri="http://schemas.microsoft.com/office/word/2010/wordprocessingShape">
                    <wps:wsp>
                      <wps:cNvSpPr/>
                      <wps:spPr>
                        <a:xfrm flipV="1">
                          <a:off x="0" y="0"/>
                          <a:ext cx="2171880" cy="3430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89pt,10.85pt" to="359.95pt,37.8pt" stroked="t" o:allowincell="f" style="position:absolute;flip:y">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autoSpaceDE w:val="false"/>
        <w:ind w:start="-1260" w:end="0"/>
        <w:rPr>
          <w:rFonts w:ascii="Arial" w:hAnsi="Arial" w:cs="Arial"/>
          <w:b/>
          <w:bCs/>
          <w:sz w:val="20"/>
          <w:szCs w:val="20"/>
        </w:rPr>
      </w:pPr>
      <w:r>
        <mc:AlternateContent>
          <mc:Choice Requires="wps">
            <w:drawing>
              <wp:anchor behindDoc="0" distT="0" distB="0" distL="114935" distR="114935" simplePos="0" locked="0" layoutInCell="1" allowOverlap="1" relativeHeight="19">
                <wp:simplePos x="0" y="0"/>
                <wp:positionH relativeFrom="column">
                  <wp:posOffset>571500</wp:posOffset>
                </wp:positionH>
                <wp:positionV relativeFrom="paragraph">
                  <wp:posOffset>334645</wp:posOffset>
                </wp:positionV>
                <wp:extent cx="381000" cy="0"/>
                <wp:effectExtent l="0" t="38100" r="0" b="38100"/>
                <wp:wrapNone/>
                <wp:docPr id="7"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45pt,26.35pt" to="74.95pt,26.3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Arial" w:cs="Arial" w:ascii="Arial" w:hAnsi="Arial"/>
          <w:b/>
          <w:bCs/>
          <w:sz w:val="20"/>
          <w:szCs w:val="20"/>
        </w:rPr>
        <w:t xml:space="preserve">                </w:t>
      </w:r>
      <w:r>
        <w:rPr>
          <w:rFonts w:cs="Arial" w:ascii="Arial" w:hAnsi="Arial"/>
          <w:b/>
          <w:bCs/>
          <w:sz w:val="20"/>
          <w:szCs w:val="20"/>
        </w:rPr>
        <w:drawing>
          <wp:inline distT="0" distB="0" distL="0" distR="0">
            <wp:extent cx="683895" cy="619760"/>
            <wp:effectExtent l="0" t="0" r="0" b="0"/>
            <wp:docPr id="8" name="bd05502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d05502_" descr="" title=""/>
                    <pic:cNvPicPr>
                      <a:picLocks noChangeAspect="1" noChangeArrowheads="1"/>
                    </pic:cNvPicPr>
                  </pic:nvPicPr>
                  <pic:blipFill>
                    <a:blip r:embed="rId4"/>
                    <a:srcRect l="-9" t="-10" r="-9" b="-10"/>
                    <a:stretch>
                      <a:fillRect/>
                    </a:stretch>
                  </pic:blipFill>
                  <pic:spPr bwMode="auto">
                    <a:xfrm>
                      <a:off x="0" y="0"/>
                      <a:ext cx="683895" cy="619760"/>
                    </a:xfrm>
                    <a:prstGeom prst="rect">
                      <a:avLst/>
                    </a:prstGeom>
                    <a:noFill/>
                  </pic:spPr>
                </pic:pic>
              </a:graphicData>
            </a:graphic>
          </wp:inline>
        </w:drawing>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mc:AlternateContent>
          <mc:Choice Requires="wps">
            <w:drawing>
              <wp:anchor behindDoc="0" distT="0" distB="0" distL="114935" distR="114935" simplePos="0" locked="0" layoutInCell="1" allowOverlap="1" relativeHeight="22">
                <wp:simplePos x="0" y="0"/>
                <wp:positionH relativeFrom="column">
                  <wp:posOffset>457200</wp:posOffset>
                </wp:positionH>
                <wp:positionV relativeFrom="paragraph">
                  <wp:posOffset>-1270</wp:posOffset>
                </wp:positionV>
                <wp:extent cx="457200" cy="342900"/>
                <wp:effectExtent l="0" t="0" r="0" b="0"/>
                <wp:wrapNone/>
                <wp:docPr id="9" name=""/>
                <a:graphic xmlns:a="http://schemas.openxmlformats.org/drawingml/2006/main">
                  <a:graphicData uri="http://schemas.microsoft.com/office/word/2010/wordprocessingShape">
                    <wps:wsp>
                      <wps:cNvSpPr/>
                      <wps:spPr>
                        <a:xfrm flipV="1">
                          <a:off x="0" y="0"/>
                          <a:ext cx="457200" cy="3430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6pt,-0.1pt" to="71.95pt,26.85pt" stroked="t" o:allowincell="f" style="position:absolute;flip:y">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Heading1"/>
        <w:ind w:hanging="0" w:start="0"/>
        <w:rPr>
          <w:rFonts w:ascii="Arial" w:hAnsi="Arial" w:cs="Arial"/>
          <w:b/>
          <w:bCs/>
          <w:sz w:val="20"/>
          <w:szCs w:val="20"/>
          <w:lang w:val="en-CA" w:eastAsia="en-CA"/>
        </w:rPr>
      </w:pPr>
      <w:r>
        <w:rPr>
          <w:rFonts w:cs="Arial"/>
          <w:b/>
          <w:bCs/>
          <w:sz w:val="20"/>
          <w:szCs w:val="20"/>
          <w:lang w:val="en-CA" w:eastAsia="en-CA"/>
        </w:rPr>
        <mc:AlternateContent>
          <mc:Choice Requires="wps">
            <w:drawing>
              <wp:anchor behindDoc="0" distT="0" distB="0" distL="0" distR="0" simplePos="0" locked="0" layoutInCell="1" allowOverlap="1" relativeHeight="10">
                <wp:simplePos x="0" y="0"/>
                <wp:positionH relativeFrom="column">
                  <wp:posOffset>-349885</wp:posOffset>
                </wp:positionH>
                <wp:positionV relativeFrom="paragraph">
                  <wp:posOffset>129540</wp:posOffset>
                </wp:positionV>
                <wp:extent cx="6515100" cy="3275330"/>
                <wp:effectExtent l="0" t="295910" r="0" b="295275"/>
                <wp:wrapNone/>
                <wp:docPr id="10" name=""/>
                <a:graphic xmlns:a="http://schemas.openxmlformats.org/drawingml/2006/main">
                  <a:graphicData uri="http://schemas.microsoft.com/office/word/2010/wordprocessingShape">
                    <wps:wsp>
                      <wps:cNvSpPr/>
                      <wps:spPr>
                        <a:xfrm rot="20364600">
                          <a:off x="0" y="0"/>
                          <a:ext cx="6515280" cy="3275280"/>
                        </a:xfrm>
                        <a:prstGeom prst="ellipse">
                          <a:avLst/>
                        </a:prstGeom>
                        <a:noFill/>
                        <a:ln w="381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7.6pt;margin-top:10.2pt;width:512.95pt;height:257.85pt;mso-wrap-style:none;v-text-anchor:middle;rotation:339">
                <v:fill o:detectmouseclick="t" on="false"/>
                <v:stroke color="black" weight="38160" joinstyle="miter" endcap="flat"/>
                <w10:wrap type="none"/>
              </v:oval>
            </w:pict>
          </mc:Fallback>
        </mc:AlternateContent>
      </w:r>
    </w:p>
    <w:p>
      <w:pPr>
        <w:pStyle w:val="Heading1"/>
        <w:ind w:hanging="0" w:start="-360" w:end="0"/>
        <w:rPr>
          <w:b/>
          <w:bCs/>
          <w:u w:val="none"/>
        </w:rPr>
      </w:pPr>
      <w:r>
        <w:rPr>
          <w:b/>
          <w:bCs/>
          <w:u w:val="none"/>
        </w:rPr>
        <mc:AlternateContent>
          <mc:Choice Requires="wps">
            <w:drawing>
              <wp:anchor behindDoc="0" distT="0" distB="0" distL="114935" distR="114935" simplePos="0" locked="0" layoutInCell="1" allowOverlap="1" relativeHeight="11">
                <wp:simplePos x="0" y="0"/>
                <wp:positionH relativeFrom="column">
                  <wp:posOffset>1714500</wp:posOffset>
                </wp:positionH>
                <wp:positionV relativeFrom="paragraph">
                  <wp:posOffset>137795</wp:posOffset>
                </wp:positionV>
                <wp:extent cx="1714500" cy="940435"/>
                <wp:effectExtent l="0" t="0" r="0" b="0"/>
                <wp:wrapNone/>
                <wp:docPr id="11" name=""/>
                <a:graphic xmlns:a="http://schemas.openxmlformats.org/drawingml/2006/main">
                  <a:graphicData uri="http://schemas.microsoft.com/office/word/2010/wordprocessingShape">
                    <wps:wsp>
                      <wps:cNvSpPr/>
                      <wps:spPr>
                        <a:xfrm>
                          <a:off x="0" y="0"/>
                          <a:ext cx="1714680" cy="94032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5pt,10.85pt" to="269.95pt,84.8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1600200</wp:posOffset>
                </wp:positionH>
                <wp:positionV relativeFrom="paragraph">
                  <wp:posOffset>163830</wp:posOffset>
                </wp:positionV>
                <wp:extent cx="800100" cy="1275080"/>
                <wp:effectExtent l="0" t="0" r="0" b="0"/>
                <wp:wrapNone/>
                <wp:docPr id="12" name=""/>
                <a:graphic xmlns:a="http://schemas.openxmlformats.org/drawingml/2006/main">
                  <a:graphicData uri="http://schemas.microsoft.com/office/word/2010/wordprocessingShape">
                    <wps:wsp>
                      <wps:cNvSpPr/>
                      <wps:spPr>
                        <a:xfrm>
                          <a:off x="0" y="0"/>
                          <a:ext cx="800280" cy="127512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26pt,12.9pt" to="188.95pt,113.2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drawing>
          <wp:inline distT="0" distB="0" distL="0" distR="0">
            <wp:extent cx="683895" cy="619760"/>
            <wp:effectExtent l="0" t="0" r="0" b="0"/>
            <wp:docPr id="1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descr="" title=""/>
                    <pic:cNvPicPr>
                      <a:picLocks noChangeAspect="1" noChangeArrowheads="1"/>
                    </pic:cNvPicPr>
                  </pic:nvPicPr>
                  <pic:blipFill>
                    <a:blip r:embed="rId5"/>
                    <a:srcRect l="-9" t="-10" r="-9" b="-10"/>
                    <a:stretch>
                      <a:fillRect/>
                    </a:stretch>
                  </pic:blipFill>
                  <pic:spPr bwMode="auto">
                    <a:xfrm>
                      <a:off x="0" y="0"/>
                      <a:ext cx="683895" cy="619760"/>
                    </a:xfrm>
                    <a:prstGeom prst="rect">
                      <a:avLst/>
                    </a:prstGeom>
                    <a:noFill/>
                  </pic:spPr>
                </pic:pic>
              </a:graphicData>
            </a:graphic>
          </wp:inline>
        </w:drawing>
        <mc:AlternateContent>
          <mc:Choice Requires="wps">
            <w:drawing>
              <wp:anchor behindDoc="0" distT="0" distB="0" distL="114935" distR="114935" simplePos="0" locked="0" layoutInCell="1" allowOverlap="1" relativeHeight="14">
                <wp:simplePos x="0" y="0"/>
                <wp:positionH relativeFrom="column">
                  <wp:posOffset>1257300</wp:posOffset>
                </wp:positionH>
                <wp:positionV relativeFrom="paragraph">
                  <wp:posOffset>107950</wp:posOffset>
                </wp:positionV>
                <wp:extent cx="0" cy="1287145"/>
                <wp:effectExtent l="38100" t="0" r="38100" b="0"/>
                <wp:wrapNone/>
                <wp:docPr id="14" name=""/>
                <a:graphic xmlns:a="http://schemas.openxmlformats.org/drawingml/2006/main">
                  <a:graphicData uri="http://schemas.microsoft.com/office/word/2010/wordprocessingShape">
                    <wps:wsp>
                      <wps:cNvSpPr/>
                      <wps:spPr>
                        <a:xfrm>
                          <a:off x="0" y="0"/>
                          <a:ext cx="0" cy="1287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8.5pt" to="99pt,109.8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9">
            <wp:simplePos x="0" y="0"/>
            <wp:positionH relativeFrom="column">
              <wp:posOffset>3352800</wp:posOffset>
            </wp:positionH>
            <wp:positionV relativeFrom="paragraph">
              <wp:posOffset>110490</wp:posOffset>
            </wp:positionV>
            <wp:extent cx="1104900" cy="846455"/>
            <wp:effectExtent l="0" t="0" r="0" b="0"/>
            <wp:wrapNone/>
            <wp:docPr id="15" name="j02857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0285778" descr="" title=""/>
                    <pic:cNvPicPr>
                      <a:picLocks noChangeAspect="1" noChangeArrowheads="1"/>
                    </pic:cNvPicPr>
                  </pic:nvPicPr>
                  <pic:blipFill>
                    <a:blip r:embed="rId6"/>
                    <a:srcRect l="-20" t="-26" r="-20" b="-26"/>
                    <a:stretch>
                      <a:fillRect/>
                    </a:stretch>
                  </pic:blipFill>
                  <pic:spPr bwMode="auto">
                    <a:xfrm>
                      <a:off x="0" y="0"/>
                      <a:ext cx="1104900" cy="846455"/>
                    </a:xfrm>
                    <a:prstGeom prst="rect">
                      <a:avLst/>
                    </a:prstGeom>
                    <a:noFill/>
                  </pic:spPr>
                </pic:pic>
              </a:graphicData>
            </a:graphic>
          </wp:anchor>
        </w:drawing>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r>
      <w:r>
        <mc:AlternateContent>
          <mc:Choice Requires="wps">
            <w:drawing>
              <wp:anchor behindDoc="0" distT="0" distB="0" distL="114935" distR="114935" simplePos="0" locked="0" layoutInCell="1" allowOverlap="1" relativeHeight="17">
                <wp:simplePos x="0" y="0"/>
                <wp:positionH relativeFrom="column">
                  <wp:posOffset>4229100</wp:posOffset>
                </wp:positionH>
                <wp:positionV relativeFrom="paragraph">
                  <wp:posOffset>93345</wp:posOffset>
                </wp:positionV>
                <wp:extent cx="1752600" cy="297180"/>
                <wp:effectExtent l="0" t="0" r="0" b="0"/>
                <wp:wrapNone/>
                <wp:docPr id="16" name="Frame4"/>
                <a:graphic xmlns:a="http://schemas.openxmlformats.org/drawingml/2006/main">
                  <a:graphicData uri="http://schemas.microsoft.com/office/word/2010/wordprocessingShape">
                    <wps:wsp>
                      <wps:cNvSpPr txBox="1"/>
                      <wps:spPr>
                        <a:xfrm>
                          <a:off x="0" y="0"/>
                          <a:ext cx="1752600" cy="297180"/>
                        </a:xfrm>
                        <a:prstGeom prst="rect"/>
                        <a:solidFill>
                          <a:srgbClr val="FFFFFF">
                            <a:alpha val="0"/>
                          </a:srgbClr>
                        </a:solidFill>
                      </wps:spPr>
                      <wps:txbx>
                        <w:txbxContent>
                          <w:p>
                            <w:pPr>
                              <w:pStyle w:val="Normal"/>
                              <w:autoSpaceDE w:val="false"/>
                              <w:jc w:val="center"/>
                              <w:rPr>
                                <w:color w:val="000000"/>
                                <w:sz w:val="28"/>
                                <w:szCs w:val="28"/>
                              </w:rPr>
                            </w:pPr>
                            <w:r>
                              <w:rPr>
                                <w:color w:val="000000"/>
                                <w:sz w:val="28"/>
                                <w:szCs w:val="28"/>
                              </w:rPr>
                              <w:t>Exchange e-Market</w:t>
                            </w:r>
                          </w:p>
                        </w:txbxContent>
                      </wps:txbx>
                      <wps:bodyPr anchor="t" lIns="92075" tIns="46355" rIns="92075" bIns="46355">
                        <a:spAutoFit/>
                      </wps:bodyPr>
                    </wps:wsp>
                  </a:graphicData>
                </a:graphic>
              </wp:anchor>
            </w:drawing>
          </mc:Choice>
          <mc:Fallback>
            <w:pict>
              <v:rect fillcolor="#FFFFFF" style="position:absolute;rotation:-0;width:138pt;height:23.4pt;mso-wrap-distance-left:9.05pt;mso-wrap-distance-right:9.05pt;mso-wrap-distance-top:0pt;mso-wrap-distance-bottom:0pt;margin-top:7.35pt;mso-position-vertical-relative:text;margin-left:333pt;mso-position-horizontal-relative:text">
                <v:fill opacity="0f"/>
                <v:textbox inset="0.100694444444444in,0.0506944444444444in,0.100694444444444in,0.0506944444444444in">
                  <w:txbxContent>
                    <w:p>
                      <w:pPr>
                        <w:pStyle w:val="Normal"/>
                        <w:autoSpaceDE w:val="false"/>
                        <w:jc w:val="center"/>
                        <w:rPr>
                          <w:color w:val="000000"/>
                          <w:sz w:val="28"/>
                          <w:szCs w:val="28"/>
                        </w:rPr>
                      </w:pPr>
                      <w:r>
                        <w:rPr>
                          <w:color w:val="000000"/>
                          <w:sz w:val="28"/>
                          <w:szCs w:val="28"/>
                        </w:rPr>
                        <w:t>Exchange e-Market</w:t>
                      </w:r>
                    </w:p>
                  </w:txbxContent>
                </v:textbox>
                <w10:wrap type="none"/>
              </v:rect>
            </w:pict>
          </mc:Fallback>
        </mc:AlternateContent>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object w:dxaOrig="2160" w:dyaOrig="213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171pt;margin-top:4.85pt;width:63pt;height:62.15pt;mso-wrap-distance-left:9.05pt;mso-wrap-distance-right:9.05pt;mso-position-horizontal-relative:text;mso-position-vertical-relative:text" filled="t" fillcolor="#FFFFFF" o:ole="">
            <v:imagedata r:id="rId8" o:title=""/>
          </v:shape>
          <o:OLEObject Type="Embed" ProgID="" ShapeID="ole_rId7" DrawAspect="Content" ObjectID="_251755575" r:id="rId7"/>
        </w:objec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4">
            <wp:simplePos x="0" y="0"/>
            <wp:positionH relativeFrom="column">
              <wp:posOffset>685800</wp:posOffset>
            </wp:positionH>
            <wp:positionV relativeFrom="paragraph">
              <wp:posOffset>19050</wp:posOffset>
            </wp:positionV>
            <wp:extent cx="1043305" cy="972185"/>
            <wp:effectExtent l="0" t="0" r="0" b="0"/>
            <wp:wrapNone/>
            <wp:docPr id="1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 descr="" title=""/>
                    <pic:cNvPicPr>
                      <a:picLocks noChangeAspect="1" noChangeArrowheads="1"/>
                    </pic:cNvPicPr>
                  </pic:nvPicPr>
                  <pic:blipFill>
                    <a:blip r:embed="rId9"/>
                    <a:srcRect l="-26" t="-28" r="-26" b="-28"/>
                    <a:stretch>
                      <a:fillRect/>
                    </a:stretch>
                  </pic:blipFill>
                  <pic:spPr bwMode="auto">
                    <a:xfrm>
                      <a:off x="0" y="0"/>
                      <a:ext cx="1043305" cy="972185"/>
                    </a:xfrm>
                    <a:prstGeom prst="rect">
                      <a:avLst/>
                    </a:prstGeom>
                    <a:noFill/>
                  </pic:spPr>
                </pic:pic>
              </a:graphicData>
            </a:graphic>
          </wp:anchor>
        </w:drawing>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8">
            <wp:simplePos x="0" y="0"/>
            <wp:positionH relativeFrom="column">
              <wp:posOffset>2171700</wp:posOffset>
            </wp:positionH>
            <wp:positionV relativeFrom="paragraph">
              <wp:posOffset>101600</wp:posOffset>
            </wp:positionV>
            <wp:extent cx="1211580" cy="1031875"/>
            <wp:effectExtent l="0" t="0" r="0" b="0"/>
            <wp:wrapNone/>
            <wp:docPr id="18" name="j01590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j0159000" descr="" title=""/>
                    <pic:cNvPicPr>
                      <a:picLocks noChangeAspect="1" noChangeArrowheads="1"/>
                    </pic:cNvPicPr>
                  </pic:nvPicPr>
                  <pic:blipFill>
                    <a:blip r:embed="rId10"/>
                    <a:srcRect l="-20" t="-23" r="-20" b="-23"/>
                    <a:stretch>
                      <a:fillRect/>
                    </a:stretch>
                  </pic:blipFill>
                  <pic:spPr bwMode="auto">
                    <a:xfrm>
                      <a:off x="0" y="0"/>
                      <a:ext cx="1211580" cy="103187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15">
                <wp:simplePos x="0" y="0"/>
                <wp:positionH relativeFrom="column">
                  <wp:posOffset>-228600</wp:posOffset>
                </wp:positionH>
                <wp:positionV relativeFrom="paragraph">
                  <wp:posOffset>26035</wp:posOffset>
                </wp:positionV>
                <wp:extent cx="1066800" cy="706120"/>
                <wp:effectExtent l="0" t="0" r="0" b="0"/>
                <wp:wrapNone/>
                <wp:docPr id="19" name="Frame5"/>
                <a:graphic xmlns:a="http://schemas.openxmlformats.org/drawingml/2006/main">
                  <a:graphicData uri="http://schemas.microsoft.com/office/word/2010/wordprocessingShape">
                    <wps:wsp>
                      <wps:cNvSpPr txBox="1"/>
                      <wps:spPr>
                        <a:xfrm>
                          <a:off x="0" y="0"/>
                          <a:ext cx="1066800" cy="706120"/>
                        </a:xfrm>
                        <a:prstGeom prst="rect"/>
                        <a:solidFill>
                          <a:srgbClr val="FFFFFF">
                            <a:alpha val="0"/>
                          </a:srgbClr>
                        </a:solidFill>
                      </wps:spPr>
                      <wps:txbx>
                        <w:txbxContent>
                          <w:p>
                            <w:pPr>
                              <w:pStyle w:val="Normal"/>
                              <w:autoSpaceDE w:val="false"/>
                              <w:jc w:val="center"/>
                              <w:rPr>
                                <w:color w:val="000000"/>
                                <w:sz w:val="28"/>
                                <w:szCs w:val="28"/>
                              </w:rPr>
                            </w:pPr>
                            <w:r>
                              <w:rPr>
                                <w:color w:val="000000"/>
                                <w:sz w:val="28"/>
                                <w:szCs w:val="28"/>
                              </w:rPr>
                              <w:t>Exchange Clearing System</w:t>
                            </w:r>
                          </w:p>
                        </w:txbxContent>
                      </wps:txbx>
                      <wps:bodyPr anchor="t" lIns="92075" tIns="46355" rIns="92075" bIns="46355">
                        <a:spAutoFit/>
                      </wps:bodyPr>
                    </wps:wsp>
                  </a:graphicData>
                </a:graphic>
              </wp:anchor>
            </w:drawing>
          </mc:Choice>
          <mc:Fallback>
            <w:pict>
              <v:rect fillcolor="#FFFFFF" style="position:absolute;rotation:-0;width:84pt;height:55.6pt;mso-wrap-distance-left:9.05pt;mso-wrap-distance-right:9.05pt;mso-wrap-distance-top:0pt;mso-wrap-distance-bottom:0pt;margin-top:2.05pt;mso-position-vertical-relative:text;margin-left:-18pt;mso-position-horizontal-relative:text">
                <v:fill opacity="0f"/>
                <v:textbox inset="0.100694444444444in,0.0506944444444444in,0.100694444444444in,0.0506944444444444in">
                  <w:txbxContent>
                    <w:p>
                      <w:pPr>
                        <w:pStyle w:val="Normal"/>
                        <w:autoSpaceDE w:val="false"/>
                        <w:jc w:val="center"/>
                        <w:rPr>
                          <w:color w:val="000000"/>
                          <w:sz w:val="28"/>
                          <w:szCs w:val="28"/>
                        </w:rPr>
                      </w:pPr>
                      <w:r>
                        <w:rPr>
                          <w:color w:val="000000"/>
                          <w:sz w:val="28"/>
                          <w:szCs w:val="28"/>
                        </w:rPr>
                        <w:t>Exchange Clearing System</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3200400</wp:posOffset>
                </wp:positionH>
                <wp:positionV relativeFrom="paragraph">
                  <wp:posOffset>26035</wp:posOffset>
                </wp:positionV>
                <wp:extent cx="1524000" cy="297180"/>
                <wp:effectExtent l="0" t="0" r="0" b="0"/>
                <wp:wrapNone/>
                <wp:docPr id="20" name="Frame6"/>
                <a:graphic xmlns:a="http://schemas.openxmlformats.org/drawingml/2006/main">
                  <a:graphicData uri="http://schemas.microsoft.com/office/word/2010/wordprocessingShape">
                    <wps:wsp>
                      <wps:cNvSpPr txBox="1"/>
                      <wps:spPr>
                        <a:xfrm>
                          <a:off x="0" y="0"/>
                          <a:ext cx="1524000" cy="297180"/>
                        </a:xfrm>
                        <a:prstGeom prst="rect"/>
                        <a:solidFill>
                          <a:srgbClr val="FFFFFF">
                            <a:alpha val="0"/>
                          </a:srgbClr>
                        </a:solidFill>
                      </wps:spPr>
                      <wps:txbx>
                        <w:txbxContent>
                          <w:p>
                            <w:pPr>
                              <w:pStyle w:val="Normal"/>
                              <w:autoSpaceDE w:val="false"/>
                              <w:rPr>
                                <w:color w:val="000000"/>
                                <w:sz w:val="28"/>
                                <w:szCs w:val="28"/>
                              </w:rPr>
                            </w:pPr>
                            <w:r>
                              <w:rPr>
                                <w:color w:val="000000"/>
                                <w:sz w:val="28"/>
                                <w:szCs w:val="28"/>
                              </w:rPr>
                              <w:t>Exchange Floor</w:t>
                            </w:r>
                          </w:p>
                        </w:txbxContent>
                      </wps:txbx>
                      <wps:bodyPr anchor="t" lIns="92075" tIns="46355" rIns="92075" bIns="46355">
                        <a:spAutoFit/>
                      </wps:bodyPr>
                    </wps:wsp>
                  </a:graphicData>
                </a:graphic>
              </wp:anchor>
            </w:drawing>
          </mc:Choice>
          <mc:Fallback>
            <w:pict>
              <v:rect fillcolor="#FFFFFF" style="position:absolute;rotation:-0;width:120pt;height:23.4pt;mso-wrap-distance-left:9.05pt;mso-wrap-distance-right:9.05pt;mso-wrap-distance-top:0pt;mso-wrap-distance-bottom:0pt;margin-top:2.05pt;mso-position-vertical-relative:text;margin-left:252pt;mso-position-horizontal-relative:text">
                <v:fill opacity="0f"/>
                <v:textbox inset="0.100694444444444in,0.0506944444444444in,0.100694444444444in,0.0506944444444444in">
                  <w:txbxContent>
                    <w:p>
                      <w:pPr>
                        <w:pStyle w:val="Normal"/>
                        <w:autoSpaceDE w:val="false"/>
                        <w:rPr>
                          <w:color w:val="000000"/>
                          <w:sz w:val="28"/>
                          <w:szCs w:val="28"/>
                        </w:rPr>
                      </w:pPr>
                      <w:r>
                        <w:rPr>
                          <w:color w:val="000000"/>
                          <w:sz w:val="28"/>
                          <w:szCs w:val="28"/>
                        </w:rPr>
                        <w:t>Exchange Floor</w:t>
                      </w:r>
                    </w:p>
                  </w:txbxContent>
                </v:textbox>
                <w10:wrap type="none"/>
              </v:rect>
            </w:pict>
          </mc:Fallback>
        </mc:AlternateConten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numPr>
          <w:ilvl w:val="0"/>
          <w:numId w:val="3"/>
        </w:numPr>
        <w:tabs>
          <w:tab w:val="clear" w:pos="720"/>
          <w:tab w:val="left" w:pos="0" w:leader="none"/>
        </w:tabs>
        <w:autoSpaceDE w:val="false"/>
        <w:ind w:hanging="0" w:start="0" w:end="0"/>
        <w:rPr>
          <w:rFonts w:ascii="Arial" w:hAnsi="Arial" w:cs="Arial"/>
          <w:b/>
          <w:bCs/>
          <w:sz w:val="20"/>
          <w:szCs w:val="20"/>
        </w:rPr>
      </w:pPr>
      <w:r>
        <w:rPr>
          <w:rFonts w:cs="Arial" w:ascii="Arial" w:hAnsi="Arial"/>
          <w:b/>
          <w:bCs/>
          <w:sz w:val="20"/>
          <w:szCs w:val="20"/>
        </w:rPr>
        <w:t>Specialist Role</w:t>
      </w:r>
    </w:p>
    <w:p>
      <w:pPr>
        <w:pStyle w:val="Normal"/>
        <w:autoSpaceDE w:val="false"/>
        <w:rPr>
          <w:rFonts w:ascii="Arial" w:hAnsi="Arial" w:cs="Arial"/>
          <w:b/>
          <w:bCs/>
          <w:sz w:val="20"/>
          <w:szCs w:val="20"/>
        </w:rPr>
      </w:pPr>
      <w:r>
        <w:rPr>
          <w:rFonts w:cs="Arial" w:ascii="Arial" w:hAnsi="Arial"/>
          <w:b/>
          <w:bCs/>
          <w:sz w:val="20"/>
          <w:szCs w:val="20"/>
        </w:rPr>
      </w:r>
    </w:p>
    <w:p>
      <w:pPr>
        <w:pStyle w:val="Heading1"/>
        <w:ind w:hanging="0" w:start="0"/>
        <w:rPr/>
      </w:pPr>
      <w:r>
        <w:rPr/>
        <w:t>Specialist responsibilities</w:t>
      </w:r>
    </w:p>
    <w:p>
      <w:pPr>
        <w:pStyle w:val="Normal"/>
        <w:rPr/>
      </w:pPr>
      <w:r>
        <w:rPr/>
      </w:r>
    </w:p>
    <w:p>
      <w:pPr>
        <w:pStyle w:val="Normal"/>
        <w:rPr>
          <w:rFonts w:ascii="Arial" w:hAnsi="Arial" w:cs="Arial"/>
          <w:sz w:val="20"/>
          <w:szCs w:val="20"/>
        </w:rPr>
      </w:pPr>
      <w:r>
        <w:rPr>
          <w:rFonts w:cs="Arial" w:ascii="Arial" w:hAnsi="Arial"/>
          <w:sz w:val="20"/>
          <w:szCs w:val="20"/>
        </w:rPr>
        <w:t>Act as the Exchange’s specialist for the products specified in Appendix A (Specified Products).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2"/>
        </w:numPr>
        <w:autoSpaceDE w:val="false"/>
        <w:rPr>
          <w:rFonts w:ascii="Arial" w:hAnsi="Arial" w:cs="Arial"/>
          <w:sz w:val="20"/>
          <w:szCs w:val="20"/>
        </w:rPr>
      </w:pPr>
      <w:r>
        <w:rPr>
          <w:rFonts w:cs="Arial" w:ascii="Arial" w:hAnsi="Arial"/>
          <w:sz w:val="20"/>
          <w:szCs w:val="20"/>
        </w:rPr>
        <w:t xml:space="preserve">Specialist will participate as a principal in transactions on the e-Exchange in order to provide liquidity.  </w:t>
        <w:br/>
      </w:r>
    </w:p>
    <w:p>
      <w:pPr>
        <w:pStyle w:val="Normal"/>
        <w:numPr>
          <w:ilvl w:val="0"/>
          <w:numId w:val="2"/>
        </w:numPr>
        <w:autoSpaceDE w:val="false"/>
        <w:rPr>
          <w:rFonts w:ascii="Arial" w:hAnsi="Arial" w:cs="Arial"/>
          <w:sz w:val="20"/>
          <w:szCs w:val="20"/>
        </w:rPr>
      </w:pPr>
      <w:r>
        <w:rPr>
          <w:rFonts w:cs="Arial" w:ascii="Arial" w:hAnsi="Arial"/>
          <w:sz w:val="20"/>
          <w:szCs w:val="20"/>
        </w:rPr>
        <w:t>Specialist will electronically post prices and volumes for the Specified Products to the e-Exchange and to the Exchange Floor via the wireless handheld devices.</w:t>
        <w:br/>
      </w:r>
    </w:p>
    <w:p>
      <w:pPr>
        <w:pStyle w:val="Normal"/>
        <w:numPr>
          <w:ilvl w:val="0"/>
          <w:numId w:val="2"/>
        </w:numPr>
        <w:autoSpaceDE w:val="false"/>
        <w:rPr>
          <w:rFonts w:ascii="Arial" w:hAnsi="Arial" w:cs="Arial"/>
          <w:sz w:val="20"/>
          <w:szCs w:val="20"/>
        </w:rPr>
      </w:pPr>
      <w:r>
        <w:rPr>
          <w:rFonts w:cs="Arial" w:ascii="Arial" w:hAnsi="Arial"/>
          <w:sz w:val="20"/>
          <w:szCs w:val="20"/>
        </w:rPr>
        <w:t>Specialist will have the right but not the obligation to electronically post prices and volumes for non-specified products to the e-Exchange and Exchange Floor.</w:t>
        <w:br/>
      </w:r>
    </w:p>
    <w:p>
      <w:pPr>
        <w:pStyle w:val="Normal"/>
        <w:numPr>
          <w:ilvl w:val="0"/>
          <w:numId w:val="2"/>
        </w:numPr>
        <w:autoSpaceDE w:val="false"/>
        <w:rPr>
          <w:rFonts w:ascii="Arial" w:hAnsi="Arial" w:cs="Arial"/>
          <w:sz w:val="20"/>
          <w:szCs w:val="20"/>
        </w:rPr>
      </w:pPr>
      <w:r>
        <w:rPr>
          <w:rFonts w:cs="Arial" w:ascii="Arial" w:hAnsi="Arial"/>
          <w:sz w:val="20"/>
          <w:szCs w:val="20"/>
        </w:rPr>
        <w:t>Specialist will act as the agent for all electronic orders on the e-Exchange and route them to the Exchange Floor.</w:t>
        <w:br/>
        <w:t xml:space="preserve"> </w:t>
      </w:r>
    </w:p>
    <w:p>
      <w:pPr>
        <w:pStyle w:val="Normal"/>
        <w:numPr>
          <w:ilvl w:val="0"/>
          <w:numId w:val="2"/>
        </w:numPr>
        <w:autoSpaceDE w:val="false"/>
        <w:rPr>
          <w:rFonts w:ascii="Arial" w:hAnsi="Arial" w:cs="Arial"/>
          <w:sz w:val="20"/>
          <w:szCs w:val="20"/>
        </w:rPr>
      </w:pPr>
      <w:r>
        <w:rPr>
          <w:rFonts w:cs="Arial" w:ascii="Arial" w:hAnsi="Arial"/>
          <w:sz w:val="20"/>
          <w:szCs w:val="20"/>
        </w:rPr>
        <w:t xml:space="preserve">Specialist shall use commercially reasonable efforts to maintain an average spread of  $.01 - $.02/MMBtu on the Specified Products.  Specialist will have sole discretion to widen the spread as required by market conditions. </w:t>
        <w:br/>
      </w:r>
    </w:p>
    <w:p>
      <w:pPr>
        <w:pStyle w:val="Normal"/>
        <w:numPr>
          <w:ilvl w:val="0"/>
          <w:numId w:val="2"/>
        </w:numPr>
        <w:autoSpaceDE w:val="false"/>
        <w:rPr>
          <w:rFonts w:ascii="Arial" w:hAnsi="Arial" w:cs="Arial"/>
          <w:sz w:val="20"/>
          <w:szCs w:val="20"/>
        </w:rPr>
      </w:pPr>
      <w:r>
        <w:rPr>
          <w:rFonts w:cs="Arial" w:ascii="Arial" w:hAnsi="Arial"/>
          <w:sz w:val="20"/>
          <w:szCs w:val="20"/>
        </w:rPr>
        <w:t>Specialist will use commercially reasonable efforts to maintain a bid and an offer on the Specified Products during all hours that the Exchange is open for business.</w:t>
        <w:br/>
      </w:r>
    </w:p>
    <w:p>
      <w:pPr>
        <w:pStyle w:val="Heading1"/>
        <w:ind w:hanging="0" w:start="0"/>
        <w:rPr>
          <w:rFonts w:ascii="Arial" w:hAnsi="Arial" w:cs="Arial"/>
          <w:sz w:val="20"/>
          <w:szCs w:val="20"/>
        </w:rPr>
      </w:pPr>
      <w:r>
        <w:rPr>
          <w:rFonts w:cs="Arial"/>
          <w:sz w:val="20"/>
          <w:szCs w:val="20"/>
        </w:rPr>
      </w:r>
    </w:p>
    <w:p>
      <w:pPr>
        <w:pStyle w:val="Heading1"/>
        <w:ind w:hanging="0" w:start="0"/>
        <w:rPr/>
      </w:pPr>
      <w:r>
        <w:rPr/>
        <w:t>Exchange responsibilities</w:t>
      </w:r>
    </w:p>
    <w:p>
      <w:pPr>
        <w:pStyle w:val="Normal"/>
        <w:autoSpaceDE w:val="false"/>
        <w:rPr>
          <w:rFonts w:ascii="Arial" w:hAnsi="Arial" w:cs="Arial"/>
          <w:sz w:val="20"/>
          <w:szCs w:val="20"/>
          <w:u w:val="single"/>
        </w:rPr>
      </w:pPr>
      <w:r>
        <w:rPr>
          <w:rFonts w:cs="Arial" w:ascii="Arial" w:hAnsi="Arial"/>
          <w:sz w:val="20"/>
          <w:szCs w:val="20"/>
          <w:u w:val="single"/>
        </w:rPr>
      </w:r>
    </w:p>
    <w:p>
      <w:pPr>
        <w:pStyle w:val="Normal"/>
        <w:autoSpaceDE w:val="false"/>
        <w:rPr>
          <w:rFonts w:ascii="Arial" w:hAnsi="Arial" w:cs="Arial"/>
          <w:sz w:val="20"/>
          <w:szCs w:val="20"/>
        </w:rPr>
      </w:pPr>
      <w:r>
        <w:rPr>
          <w:rFonts w:cs="Arial" w:ascii="Arial" w:hAnsi="Arial"/>
          <w:sz w:val="20"/>
          <w:szCs w:val="20"/>
        </w:rPr>
        <w:t>Exchange will provide Specialist with an instance of Specialist Manager including software licenses, hardware specifications and consulting according to the specifications defined in Appendix B.</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Exchange will charge Specialist local clearing rates for all transactions on Specified Products in which Specialist’s posted price is either hit or lifted (passive trade).</w:t>
        <w:br/>
      </w:r>
    </w:p>
    <w:p>
      <w:pPr>
        <w:pStyle w:val="Normal"/>
        <w:autoSpaceDE w:val="false"/>
        <w:rPr>
          <w:rFonts w:ascii="Arial" w:hAnsi="Arial" w:cs="Arial"/>
          <w:sz w:val="20"/>
          <w:szCs w:val="20"/>
        </w:rPr>
      </w:pPr>
      <w:r>
        <w:rPr>
          <w:rFonts w:cs="Arial" w:ascii="Arial" w:hAnsi="Arial"/>
          <w:sz w:val="20"/>
          <w:szCs w:val="20"/>
        </w:rPr>
        <w:t>Exchange will charge Specialist the local clearing rates plus an exchange fee for all transactions on Specified Products in which Specialist hits another market participants bid or lifts another market participants offer (proactive trading).</w:t>
        <w:br/>
      </w:r>
    </w:p>
    <w:p>
      <w:pPr>
        <w:pStyle w:val="Normal"/>
        <w:autoSpaceDE w:val="false"/>
        <w:rPr>
          <w:rFonts w:ascii="Arial" w:hAnsi="Arial" w:cs="Arial"/>
          <w:sz w:val="20"/>
          <w:szCs w:val="20"/>
        </w:rPr>
      </w:pPr>
      <w:r>
        <w:rPr>
          <w:rFonts w:cs="Arial" w:ascii="Arial" w:hAnsi="Arial"/>
          <w:sz w:val="20"/>
          <w:szCs w:val="20"/>
        </w:rPr>
        <w:t>Exchange will charge Specialist the local clearing rates plus an exchange fee for all transactions on non-Specified Products.</w:t>
        <w:br/>
      </w:r>
    </w:p>
    <w:p>
      <w:pPr>
        <w:pStyle w:val="Normal"/>
        <w:autoSpaceDE w:val="false"/>
        <w:rPr>
          <w:rFonts w:ascii="Arial" w:hAnsi="Arial" w:cs="Arial"/>
          <w:sz w:val="20"/>
          <w:szCs w:val="20"/>
        </w:rPr>
      </w:pPr>
      <w:r>
        <w:rPr>
          <w:rFonts w:cs="Arial" w:ascii="Arial" w:hAnsi="Arial"/>
          <w:sz w:val="20"/>
          <w:szCs w:val="20"/>
        </w:rPr>
        <w:t>Exchange will give Specialist a 50% fill participation in any transaction in which Specialist has joined a bid or offer that trades.</w:t>
        <w:br/>
      </w:r>
    </w:p>
    <w:p>
      <w:pPr>
        <w:pStyle w:val="Normal"/>
        <w:autoSpaceDE w:val="false"/>
        <w:rPr>
          <w:rFonts w:ascii="Arial" w:hAnsi="Arial" w:cs="Arial"/>
          <w:sz w:val="20"/>
          <w:szCs w:val="20"/>
        </w:rPr>
      </w:pPr>
      <w:r>
        <w:rPr>
          <w:rFonts w:cs="Arial" w:ascii="Arial" w:hAnsi="Arial"/>
          <w:sz w:val="20"/>
          <w:szCs w:val="20"/>
        </w:rPr>
        <w:t xml:space="preserve">Exchange will give Specialist a 100% fill participation in any transaction in which another market participant has joined Specialist’s bid or offer that trades. </w:t>
        <w:br/>
      </w:r>
    </w:p>
    <w:p>
      <w:pPr>
        <w:pStyle w:val="Normal"/>
        <w:autoSpaceDE w:val="false"/>
        <w:rPr>
          <w:rFonts w:ascii="Arial" w:hAnsi="Arial" w:cs="Arial"/>
          <w:sz w:val="20"/>
          <w:szCs w:val="20"/>
        </w:rPr>
      </w:pPr>
      <w:r>
        <w:rPr>
          <w:rFonts w:cs="Arial" w:ascii="Arial" w:hAnsi="Arial"/>
          <w:sz w:val="20"/>
          <w:szCs w:val="20"/>
        </w:rPr>
        <w:t>Exchange will provide Specialist with the option to stream e-Exchange or wireless handheld devices price/volume orders to its own Principal Platform for both specified and non-specified products.</w:t>
        <w:br/>
      </w:r>
    </w:p>
    <w:p>
      <w:pPr>
        <w:pStyle w:val="Normal"/>
        <w:autoSpaceDE w:val="false"/>
        <w:rPr>
          <w:rFonts w:ascii="Arial" w:hAnsi="Arial" w:cs="Arial"/>
          <w:sz w:val="20"/>
          <w:szCs w:val="20"/>
        </w:rPr>
      </w:pPr>
      <w:r>
        <w:rPr>
          <w:rFonts w:cs="Arial" w:ascii="Arial" w:hAnsi="Arial"/>
          <w:sz w:val="20"/>
          <w:szCs w:val="20"/>
        </w:rPr>
        <w:t>Exchange will provide Specialist with generic counterpart information on all transactions that it is a party to (hedge fund, producer, consumer, speculator, etc.).</w:t>
      </w:r>
    </w:p>
    <w:p>
      <w:pPr>
        <w:pStyle w:val="Normal"/>
        <w:autoSpaceDE w:val="false"/>
        <w:ind w:start="780" w:end="0"/>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Exchange will continue to operate its open outcry Exchange Floor.</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Exchange will provide Specialist with generic counterpart information on all price postings streamed to the transaction database.</w:t>
      </w:r>
    </w:p>
    <w:p>
      <w:pPr>
        <w:pStyle w:val="Normal"/>
        <w:autoSpaceDE w:val="false"/>
        <w:rPr>
          <w:rFonts w:ascii="Arial" w:hAnsi="Arial" w:eastAsia="Arial" w:cs="Arial"/>
          <w:sz w:val="20"/>
          <w:szCs w:val="20"/>
        </w:rPr>
      </w:pPr>
      <w:r>
        <w:rPr>
          <w:rFonts w:eastAsia="Arial" w:cs="Arial" w:ascii="Arial" w:hAnsi="Arial"/>
          <w:sz w:val="20"/>
          <w:szCs w:val="20"/>
        </w:rPr>
        <w:t xml:space="preserve">  </w:t>
      </w:r>
    </w:p>
    <w:p>
      <w:pPr>
        <w:pStyle w:val="Normal"/>
        <w:numPr>
          <w:ilvl w:val="0"/>
          <w:numId w:val="3"/>
        </w:numPr>
        <w:tabs>
          <w:tab w:val="clear" w:pos="720"/>
          <w:tab w:val="left" w:pos="0" w:leader="none"/>
        </w:tabs>
        <w:autoSpaceDE w:val="false"/>
        <w:ind w:hanging="0" w:start="0" w:end="0"/>
        <w:rPr>
          <w:rFonts w:ascii="Arial" w:hAnsi="Arial" w:cs="Arial"/>
          <w:sz w:val="20"/>
          <w:szCs w:val="20"/>
        </w:rPr>
      </w:pPr>
      <w:r>
        <w:rPr>
          <w:rFonts w:cs="Arial" w:ascii="Arial" w:hAnsi="Arial"/>
          <w:b/>
          <w:bCs/>
          <w:sz w:val="20"/>
          <w:szCs w:val="20"/>
        </w:rPr>
        <w:t>Clearing</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u w:val="single"/>
        </w:rPr>
      </w:pPr>
      <w:r>
        <w:rPr>
          <w:rFonts w:cs="Arial" w:ascii="Arial" w:hAnsi="Arial"/>
          <w:sz w:val="20"/>
          <w:szCs w:val="20"/>
          <w:u w:val="single"/>
        </w:rPr>
        <w:t>Specialist Responsibilities</w:t>
      </w:r>
    </w:p>
    <w:p>
      <w:pPr>
        <w:pStyle w:val="Normal"/>
        <w:autoSpaceDE w:val="false"/>
        <w:rPr>
          <w:rFonts w:ascii="Arial" w:hAnsi="Arial" w:cs="Arial"/>
          <w:sz w:val="20"/>
          <w:szCs w:val="20"/>
          <w:u w:val="single"/>
        </w:rPr>
      </w:pPr>
      <w:r>
        <w:rPr>
          <w:rFonts w:cs="Arial" w:ascii="Arial" w:hAnsi="Arial"/>
          <w:sz w:val="20"/>
          <w:szCs w:val="20"/>
          <w:u w:val="single"/>
        </w:rPr>
      </w:r>
    </w:p>
    <w:p>
      <w:pPr>
        <w:pStyle w:val="Normal"/>
        <w:autoSpaceDE w:val="false"/>
        <w:rPr>
          <w:rFonts w:ascii="Arial" w:hAnsi="Arial" w:cs="Arial"/>
          <w:sz w:val="20"/>
          <w:szCs w:val="20"/>
        </w:rPr>
      </w:pPr>
      <w:r>
        <w:rPr>
          <w:rFonts w:cs="Arial" w:ascii="Arial" w:hAnsi="Arial"/>
          <w:sz w:val="20"/>
          <w:szCs w:val="20"/>
        </w:rPr>
        <w:t xml:space="preserve">Specialist will provide its Principal platform electronic customers a choice during the trade submission process to clear each transaction through Exchange clearing. The transaction clearing is subject to acceptance by Exchange on a counterparty basis. </w:t>
      </w:r>
    </w:p>
    <w:p>
      <w:pPr>
        <w:pStyle w:val="Normal"/>
        <w:autoSpaceDE w:val="false"/>
        <w:rPr>
          <w:rFonts w:ascii="Arial" w:hAnsi="Arial" w:cs="Arial"/>
          <w:sz w:val="20"/>
          <w:szCs w:val="20"/>
          <w:u w:val="single"/>
        </w:rPr>
      </w:pPr>
      <w:r>
        <w:rPr>
          <w:rFonts w:cs="Arial" w:ascii="Arial" w:hAnsi="Arial"/>
          <w:sz w:val="20"/>
          <w:szCs w:val="20"/>
          <w:u w:val="single"/>
        </w:rPr>
      </w:r>
    </w:p>
    <w:p>
      <w:pPr>
        <w:pStyle w:val="Normal"/>
        <w:autoSpaceDE w:val="false"/>
        <w:rPr>
          <w:rFonts w:ascii="Arial" w:hAnsi="Arial" w:cs="Arial"/>
          <w:sz w:val="20"/>
          <w:szCs w:val="20"/>
        </w:rPr>
      </w:pPr>
      <w:r>
        <w:rPr>
          <w:rFonts w:cs="Arial" w:ascii="Arial" w:hAnsi="Arial"/>
          <w:sz w:val="20"/>
          <w:szCs w:val="20"/>
          <w:u w:val="single"/>
        </w:rPr>
        <w:t>Exchange Responsibilities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Exchange will have the option to accept for clearing the transactions originated on the Specialist’s Principal Platform and submitted by the third party for clearing with Exchange.</w:t>
      </w:r>
    </w:p>
    <w:p>
      <w:pPr>
        <w:pStyle w:val="Normal"/>
        <w:rPr>
          <w:rFonts w:ascii="Arial" w:hAnsi="Arial" w:cs="Arial"/>
          <w:sz w:val="20"/>
          <w:szCs w:val="20"/>
        </w:rPr>
      </w:pPr>
      <w:r>
        <w:rPr>
          <w:rFonts w:cs="Arial" w:ascii="Arial" w:hAnsi="Arial"/>
          <w:sz w:val="20"/>
          <w:szCs w:val="20"/>
        </w:rPr>
      </w:r>
    </w:p>
    <w:p>
      <w:pPr>
        <w:pStyle w:val="Normal"/>
        <w:numPr>
          <w:ilvl w:val="0"/>
          <w:numId w:val="3"/>
        </w:numPr>
        <w:tabs>
          <w:tab w:val="clear" w:pos="720"/>
          <w:tab w:val="left" w:pos="0" w:leader="none"/>
        </w:tabs>
        <w:autoSpaceDE w:val="false"/>
        <w:ind w:hanging="0" w:start="0" w:end="0"/>
        <w:rPr/>
      </w:pPr>
      <w:r>
        <w:rPr>
          <w:rFonts w:cs="Arial" w:ascii="Arial" w:hAnsi="Arial"/>
          <w:b/>
          <w:bCs/>
          <w:sz w:val="20"/>
          <w:szCs w:val="20"/>
        </w:rPr>
        <w:t>Compensation</w:t>
      </w:r>
    </w:p>
    <w:p>
      <w:pPr>
        <w:pStyle w:val="Normal"/>
        <w:rPr/>
      </w:pPr>
      <w:r>
        <w:rPr/>
      </w:r>
    </w:p>
    <w:p>
      <w:pPr>
        <w:pStyle w:val="Heading1"/>
        <w:ind w:hanging="0" w:start="0"/>
        <w:rPr/>
      </w:pPr>
      <w:r>
        <w:rPr/>
        <w:t>Specialist Compensation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Specialist shall be able to post limit orders and cross transactions on the Exchange Floor or E-Exchange without incurring an Exchange fee.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Specialist shall receive free clearing fees for any transactions it clears through Exchange.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Exchange will reimburse Specialist for FCM execution and clearing fees Specialist pays for crossed on the Exchange Floor.</w:t>
      </w:r>
    </w:p>
    <w:p>
      <w:pPr>
        <w:pStyle w:val="Heading1"/>
        <w:ind w:hanging="0" w:start="0"/>
        <w:rPr>
          <w:rFonts w:ascii="Arial" w:hAnsi="Arial" w:cs="Arial"/>
          <w:sz w:val="20"/>
          <w:szCs w:val="20"/>
        </w:rPr>
      </w:pPr>
      <w:r>
        <w:rPr>
          <w:rFonts w:cs="Arial"/>
          <w:sz w:val="20"/>
          <w:szCs w:val="20"/>
        </w:rPr>
      </w:r>
    </w:p>
    <w:p>
      <w:pPr>
        <w:pStyle w:val="Heading1"/>
        <w:ind w:hanging="0" w:start="0"/>
        <w:rPr>
          <w:u w:val="none"/>
        </w:rPr>
      </w:pPr>
      <w:r>
        <w:rPr/>
        <w:t>Exchange Compensation</w:t>
      </w:r>
    </w:p>
    <w:p>
      <w:pPr>
        <w:pStyle w:val="Normal"/>
        <w:rPr>
          <w:rFonts w:ascii="Arial" w:hAnsi="Arial" w:cs="Arial"/>
          <w:sz w:val="20"/>
          <w:szCs w:val="20"/>
          <w:u w:val="none"/>
        </w:rPr>
      </w:pPr>
      <w:r>
        <w:rPr>
          <w:rFonts w:cs="Arial" w:ascii="Arial" w:hAnsi="Arial"/>
          <w:sz w:val="20"/>
          <w:szCs w:val="20"/>
          <w:u w:val="none"/>
        </w:rPr>
      </w:r>
    </w:p>
    <w:p>
      <w:pPr>
        <w:pStyle w:val="Normal"/>
        <w:rPr>
          <w:rFonts w:ascii="Arial" w:hAnsi="Arial" w:cs="Arial"/>
          <w:sz w:val="20"/>
          <w:szCs w:val="20"/>
        </w:rPr>
      </w:pPr>
      <w:r>
        <w:rPr>
          <w:rFonts w:cs="Arial" w:ascii="Arial" w:hAnsi="Arial"/>
          <w:sz w:val="20"/>
          <w:szCs w:val="20"/>
        </w:rPr>
        <w:t>Exchange will receive transaction fees from all counterparties except Specialist for transactions originated through e-Exchange, the wireless handheld devices and, other partner platforms. The transaction fees will be defined and collected by Exchange.</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Exchange will receive clearing fees from all counterparties except Specialist for clearing transactions originated through e-Exchange, the wireless handheld devices and, other partner platforms. The clearing fees will be defined and collected by Exchange.</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3"/>
        </w:numPr>
        <w:tabs>
          <w:tab w:val="clear" w:pos="720"/>
          <w:tab w:val="left" w:pos="0" w:leader="none"/>
        </w:tabs>
        <w:autoSpaceDE w:val="false"/>
        <w:ind w:hanging="0" w:start="0" w:end="0"/>
        <w:rPr>
          <w:rFonts w:ascii="Arial" w:hAnsi="Arial" w:cs="Arial"/>
          <w:sz w:val="20"/>
          <w:szCs w:val="20"/>
        </w:rPr>
      </w:pPr>
      <w:r>
        <w:rPr>
          <w:rFonts w:eastAsia="Arial" w:cs="Arial" w:ascii="Arial" w:hAnsi="Arial"/>
          <w:b/>
          <w:bCs/>
          <w:sz w:val="20"/>
          <w:szCs w:val="20"/>
        </w:rPr>
        <w:t xml:space="preserve"> </w:t>
      </w:r>
      <w:r>
        <w:rPr>
          <w:rFonts w:cs="Arial" w:ascii="Arial" w:hAnsi="Arial"/>
          <w:b/>
          <w:bCs/>
          <w:sz w:val="20"/>
          <w:szCs w:val="20"/>
        </w:rPr>
        <w:t>Exclusivity</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Exchange will give Specialist an exclusive specialist role in the Specified Products for 2 years.   Specialist will have right of first refusal to extend this term based upon negotiated terms that will contemplate any proposals provided to the Exchange by an independent third party requesting the specialist role.</w:t>
        <w:br/>
      </w:r>
      <w:r>
        <w:br w:type="page"/>
      </w:r>
    </w:p>
    <w:p>
      <w:pPr>
        <w:pStyle w:val="Heading2"/>
        <w:ind w:hanging="0" w:start="0"/>
        <w:rPr/>
      </w:pPr>
      <w:r>
        <w:rPr/>
        <w:t>APPENDIX A</w:t>
      </w:r>
    </w:p>
    <w:p>
      <w:pPr>
        <w:pStyle w:val="Normal"/>
        <w:rPr/>
      </w:pPr>
      <w:r>
        <w:rPr/>
      </w:r>
    </w:p>
    <w:p>
      <w:pPr>
        <w:pStyle w:val="Normal"/>
        <w:numPr>
          <w:ilvl w:val="0"/>
          <w:numId w:val="4"/>
        </w:numPr>
        <w:autoSpaceDE w:val="false"/>
        <w:rPr>
          <w:rFonts w:ascii="Arial" w:hAnsi="Arial" w:cs="Arial"/>
          <w:sz w:val="20"/>
          <w:szCs w:val="20"/>
        </w:rPr>
      </w:pPr>
      <w:r>
        <w:rPr>
          <w:rFonts w:cs="Arial" w:ascii="Arial" w:hAnsi="Arial"/>
          <w:sz w:val="20"/>
          <w:szCs w:val="20"/>
        </w:rPr>
        <w:t>Prompt month Natural Gas</w:t>
      </w:r>
    </w:p>
    <w:p>
      <w:pPr>
        <w:pStyle w:val="Normal"/>
        <w:numPr>
          <w:ilvl w:val="0"/>
          <w:numId w:val="4"/>
        </w:numPr>
        <w:autoSpaceDE w:val="false"/>
        <w:rPr>
          <w:rFonts w:ascii="Arial" w:hAnsi="Arial" w:cs="Arial"/>
          <w:sz w:val="20"/>
          <w:szCs w:val="20"/>
        </w:rPr>
      </w:pPr>
      <w:r>
        <w:rPr>
          <w:rFonts w:cs="Arial" w:ascii="Arial" w:hAnsi="Arial"/>
          <w:sz w:val="20"/>
          <w:szCs w:val="20"/>
        </w:rPr>
        <w:t>Prompt Month plus 1 Natural Gas</w:t>
      </w:r>
    </w:p>
    <w:p>
      <w:pPr>
        <w:pStyle w:val="Normal"/>
        <w:numPr>
          <w:ilvl w:val="0"/>
          <w:numId w:val="4"/>
        </w:numPr>
        <w:autoSpaceDE w:val="false"/>
        <w:rPr>
          <w:rFonts w:ascii="Arial" w:hAnsi="Arial" w:cs="Arial"/>
          <w:sz w:val="20"/>
          <w:szCs w:val="20"/>
        </w:rPr>
      </w:pPr>
      <w:r>
        <w:rPr>
          <w:rFonts w:cs="Arial" w:ascii="Arial" w:hAnsi="Arial"/>
          <w:sz w:val="20"/>
          <w:szCs w:val="20"/>
        </w:rPr>
        <w:t>Prompt Month plus 2 Natural Gas</w:t>
      </w:r>
    </w:p>
    <w:p>
      <w:pPr>
        <w:pStyle w:val="Normal"/>
        <w:numPr>
          <w:ilvl w:val="0"/>
          <w:numId w:val="4"/>
        </w:numPr>
        <w:autoSpaceDE w:val="false"/>
        <w:rPr>
          <w:rFonts w:ascii="Arial" w:hAnsi="Arial" w:cs="Arial"/>
          <w:sz w:val="20"/>
          <w:szCs w:val="20"/>
        </w:rPr>
      </w:pPr>
      <w:r>
        <w:rPr>
          <w:rFonts w:cs="Arial" w:ascii="Arial" w:hAnsi="Arial"/>
          <w:sz w:val="20"/>
          <w:szCs w:val="20"/>
        </w:rPr>
        <w:t>First Season Natural Gas</w:t>
      </w:r>
    </w:p>
    <w:p>
      <w:pPr>
        <w:pStyle w:val="Normal"/>
        <w:numPr>
          <w:ilvl w:val="0"/>
          <w:numId w:val="4"/>
        </w:numPr>
        <w:autoSpaceDE w:val="false"/>
        <w:rPr>
          <w:rFonts w:ascii="Arial" w:hAnsi="Arial" w:cs="Arial"/>
          <w:sz w:val="20"/>
          <w:szCs w:val="20"/>
        </w:rPr>
      </w:pPr>
      <w:r>
        <w:rPr>
          <w:rFonts w:cs="Arial" w:ascii="Arial" w:hAnsi="Arial"/>
          <w:sz w:val="20"/>
          <w:szCs w:val="20"/>
        </w:rPr>
        <w:t>Second Season Natural Gas</w:t>
      </w:r>
    </w:p>
    <w:p>
      <w:pPr>
        <w:pStyle w:val="Normal"/>
        <w:numPr>
          <w:ilvl w:val="0"/>
          <w:numId w:val="4"/>
        </w:numPr>
        <w:autoSpaceDE w:val="false"/>
        <w:rPr>
          <w:rFonts w:ascii="Arial" w:hAnsi="Arial" w:cs="Arial"/>
          <w:sz w:val="20"/>
          <w:szCs w:val="20"/>
        </w:rPr>
      </w:pPr>
      <w:r>
        <w:rPr>
          <w:rFonts w:cs="Arial" w:ascii="Arial" w:hAnsi="Arial"/>
          <w:sz w:val="20"/>
          <w:szCs w:val="20"/>
        </w:rPr>
        <w:t>First Calendar year Natural Gas</w:t>
      </w:r>
    </w:p>
    <w:p>
      <w:pPr>
        <w:pStyle w:val="Normal"/>
        <w:numPr>
          <w:ilvl w:val="0"/>
          <w:numId w:val="4"/>
        </w:numPr>
        <w:autoSpaceDE w:val="false"/>
        <w:rPr/>
      </w:pPr>
      <w:r>
        <w:rPr>
          <w:rFonts w:cs="Arial" w:ascii="Arial" w:hAnsi="Arial"/>
          <w:sz w:val="20"/>
          <w:szCs w:val="20"/>
        </w:rPr>
        <w:t>Second Calendar year Natural Gas</w:t>
      </w:r>
      <w:r>
        <w:br w:type="page"/>
      </w:r>
    </w:p>
    <w:p>
      <w:pPr>
        <w:pStyle w:val="Heading2"/>
        <w:ind w:hanging="0" w:start="0"/>
        <w:rPr/>
      </w:pPr>
      <w:r>
        <w:rPr/>
        <w:t>APPENDIX B</w:t>
      </w:r>
    </w:p>
    <w:p>
      <w:pPr>
        <w:pStyle w:val="Normal"/>
        <w:rPr/>
      </w:pPr>
      <w:r>
        <w:rPr/>
      </w:r>
    </w:p>
    <w:p>
      <w:pPr>
        <w:pStyle w:val="BodyTextIndent2"/>
        <w:ind w:start="0" w:end="0"/>
        <w:rPr/>
      </w:pPr>
      <w:r>
        <w:rPr/>
        <w:t>Specialist Manager</w:t>
      </w:r>
    </w:p>
    <w:p>
      <w:pPr>
        <w:pStyle w:val="BodyTextIndent2"/>
        <w:ind w:start="0" w:end="0"/>
        <w:rPr/>
      </w:pPr>
      <w:r>
        <w:rPr/>
      </w:r>
    </w:p>
    <w:p>
      <w:pPr>
        <w:pStyle w:val="BodyTextIndent2"/>
        <w:ind w:start="0" w:end="0"/>
        <w:rPr/>
      </w:pPr>
      <w:r>
        <w:rPr/>
        <w:t>The Specialist Manager is the primary interface that specialists use. This application allows Specialists to:</w:t>
      </w:r>
    </w:p>
    <w:p>
      <w:pPr>
        <w:pStyle w:val="Normal"/>
        <w:numPr>
          <w:ilvl w:val="1"/>
          <w:numId w:val="5"/>
        </w:numPr>
        <w:rPr>
          <w:rFonts w:ascii="Arial" w:hAnsi="Arial" w:cs="Arial"/>
          <w:sz w:val="20"/>
        </w:rPr>
      </w:pPr>
      <w:r>
        <w:rPr>
          <w:rFonts w:cs="Arial" w:ascii="Arial" w:hAnsi="Arial"/>
          <w:sz w:val="20"/>
        </w:rPr>
        <w:t>Add bid and offer entries</w:t>
      </w:r>
    </w:p>
    <w:p>
      <w:pPr>
        <w:pStyle w:val="Normal"/>
        <w:numPr>
          <w:ilvl w:val="1"/>
          <w:numId w:val="5"/>
        </w:numPr>
        <w:rPr>
          <w:rFonts w:ascii="Arial" w:hAnsi="Arial" w:cs="Arial"/>
          <w:sz w:val="20"/>
        </w:rPr>
      </w:pPr>
      <w:r>
        <w:rPr>
          <w:rFonts w:cs="Arial" w:ascii="Arial" w:hAnsi="Arial"/>
          <w:sz w:val="20"/>
        </w:rPr>
        <w:t>Delete bid and offer entries</w:t>
      </w:r>
    </w:p>
    <w:p>
      <w:pPr>
        <w:pStyle w:val="Normal"/>
        <w:numPr>
          <w:ilvl w:val="1"/>
          <w:numId w:val="5"/>
        </w:numPr>
        <w:rPr>
          <w:rFonts w:ascii="Arial" w:hAnsi="Arial" w:cs="Arial"/>
          <w:sz w:val="20"/>
        </w:rPr>
      </w:pPr>
      <w:r>
        <w:rPr>
          <w:rFonts w:cs="Arial" w:ascii="Arial" w:hAnsi="Arial"/>
          <w:sz w:val="20"/>
        </w:rPr>
        <w:t>Modify bid and offer prices and volumes</w:t>
      </w:r>
    </w:p>
    <w:p>
      <w:pPr>
        <w:pStyle w:val="Normal"/>
        <w:numPr>
          <w:ilvl w:val="1"/>
          <w:numId w:val="5"/>
        </w:numPr>
        <w:rPr>
          <w:rFonts w:ascii="Arial" w:hAnsi="Arial" w:cs="Arial"/>
          <w:sz w:val="20"/>
        </w:rPr>
      </w:pPr>
      <w:r>
        <w:rPr>
          <w:rFonts w:cs="Arial" w:ascii="Arial" w:hAnsi="Arial"/>
          <w:sz w:val="20"/>
        </w:rPr>
        <w:t>Receive and organize third party posted prices and volumes</w:t>
      </w:r>
    </w:p>
    <w:p>
      <w:pPr>
        <w:pStyle w:val="Normal"/>
        <w:numPr>
          <w:ilvl w:val="1"/>
          <w:numId w:val="5"/>
        </w:numPr>
        <w:rPr>
          <w:rFonts w:ascii="Arial" w:hAnsi="Arial" w:cs="Arial"/>
          <w:sz w:val="20"/>
        </w:rPr>
      </w:pPr>
      <w:r>
        <w:rPr>
          <w:rFonts w:cs="Arial" w:ascii="Arial" w:hAnsi="Arial"/>
          <w:sz w:val="20"/>
        </w:rPr>
        <w:t>Reassign responsibility for management of products within specialist firm</w:t>
      </w:r>
    </w:p>
    <w:p>
      <w:pPr>
        <w:pStyle w:val="Normal"/>
        <w:numPr>
          <w:ilvl w:val="1"/>
          <w:numId w:val="5"/>
        </w:numPr>
        <w:rPr>
          <w:rFonts w:ascii="Arial" w:hAnsi="Arial" w:cs="Arial"/>
          <w:sz w:val="20"/>
        </w:rPr>
      </w:pPr>
      <w:r>
        <w:rPr>
          <w:rFonts w:cs="Arial" w:ascii="Arial" w:hAnsi="Arial"/>
          <w:sz w:val="20"/>
        </w:rPr>
        <w:t>Set market times</w:t>
      </w:r>
    </w:p>
    <w:p>
      <w:pPr>
        <w:pStyle w:val="Normal"/>
        <w:numPr>
          <w:ilvl w:val="1"/>
          <w:numId w:val="5"/>
        </w:numPr>
        <w:rPr/>
      </w:pPr>
      <w:r>
        <w:rPr>
          <w:rFonts w:cs="Arial" w:ascii="Arial" w:hAnsi="Arial"/>
          <w:sz w:val="20"/>
        </w:rPr>
        <w:t>Set general and specific price and volume controls for each specific product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140"/>
        </w:tabs>
        <w:ind w:start="1140" w:hanging="360"/>
      </w:pPr>
      <w:rPr>
        <w:rFonts w:ascii="Times New Roman" w:hAnsi="Times New Roman" w:cs="Times New Roman"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2160"/>
        </w:tabs>
        <w:ind w:start="2160" w:hanging="360"/>
      </w:pPr>
      <w:rPr>
        <w:rFonts w:ascii="Liberation Serif" w:hAnsi="Liberation Serif" w:cs="Liberation Serif"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sz w:val="20"/>
      <w:szCs w:val="20"/>
      <w:u w:val="single"/>
    </w:rPr>
  </w:style>
  <w:style w:type="paragraph" w:styleId="Heading2">
    <w:name w:val="heading 2"/>
    <w:basedOn w:val="Normal"/>
    <w:next w:val="Normal"/>
    <w:qFormat/>
    <w:pPr>
      <w:keepNext w:val="true"/>
      <w:numPr>
        <w:ilvl w:val="1"/>
        <w:numId w:val="1"/>
      </w:numPr>
      <w:outlineLvl w:val="1"/>
    </w:pPr>
    <w:rPr>
      <w:rFonts w:ascii="Arial" w:hAnsi="Arial" w:cs="Arial"/>
      <w:b/>
      <w:bCs/>
      <w:sz w:val="20"/>
      <w:u w:val="single"/>
    </w:rPr>
  </w:style>
  <w:style w:type="paragraph" w:styleId="Heading3">
    <w:name w:val="heading 3"/>
    <w:basedOn w:val="Normal"/>
    <w:next w:val="Normal"/>
    <w:qFormat/>
    <w:pPr>
      <w:keepNext w:val="true"/>
      <w:numPr>
        <w:ilvl w:val="2"/>
        <w:numId w:val="1"/>
      </w:numPr>
      <w:autoSpaceDE w:val="false"/>
      <w:outlineLvl w:val="2"/>
    </w:pPr>
    <w:rPr>
      <w:rFonts w:ascii="Arial" w:hAnsi="Arial" w:cs="Arial"/>
      <w:b/>
      <w:bCs/>
      <w:sz w:val="32"/>
      <w:szCs w:val="20"/>
    </w:rPr>
  </w:style>
  <w:style w:type="paragraph" w:styleId="Heading4">
    <w:name w:val="heading 4"/>
    <w:basedOn w:val="Normal"/>
    <w:next w:val="Normal"/>
    <w:qFormat/>
    <w:pPr>
      <w:keepNext w:val="true"/>
      <w:numPr>
        <w:ilvl w:val="3"/>
        <w:numId w:val="1"/>
      </w:numPr>
      <w:autoSpaceDE w:val="false"/>
      <w:outlineLvl w:val="3"/>
    </w:pPr>
    <w:rPr>
      <w:color w:val="000000"/>
      <w:sz w:val="28"/>
      <w:szCs w:val="28"/>
    </w:rPr>
  </w:style>
  <w:style w:type="paragraph" w:styleId="Heading6">
    <w:name w:val="heading 6"/>
    <w:basedOn w:val="Normal"/>
    <w:next w:val="Normal"/>
    <w:qFormat/>
    <w:pPr>
      <w:keepNext w:val="true"/>
      <w:numPr>
        <w:ilvl w:val="5"/>
        <w:numId w:val="1"/>
      </w:numPr>
      <w:autoSpaceDE w:val="false"/>
      <w:jc w:val="center"/>
      <w:outlineLvl w:val="5"/>
    </w:pPr>
    <w:rPr>
      <w:color w:val="000000"/>
      <w:sz w:val="28"/>
      <w:szCs w:val="28"/>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cs="Courier New"/>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1440" w:end="0"/>
    </w:pPr>
    <w:rPr>
      <w:rFonts w:ascii="Arial" w:hAnsi="Arial" w:cs="Arial"/>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wmf"/><Relationship Id="rId5" Type="http://schemas.openxmlformats.org/officeDocument/2006/relationships/image" Target="media/image3.wmf"/><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image" Target="media/image4.wmf"/><Relationship Id="rId9" Type="http://schemas.openxmlformats.org/officeDocument/2006/relationships/image" Target="media/image2.png"/><Relationship Id="rId10" Type="http://schemas.openxmlformats.org/officeDocument/2006/relationships/image" Target="media/image5.wmf"/><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2001-10-10T11:56:00Z</dcterms:created>
  <dc:creator>meichma</dc:creator>
  <dc:description/>
  <dc:language>en-CA</dc:language>
  <cp:lastModifiedBy>meichma</cp:lastModifiedBy>
  <dcterms:modified xsi:type="dcterms:W3CDTF">2001-10-10T11:56:00Z</dcterms:modified>
  <cp:revision>2</cp:revision>
  <dc:subject/>
  <dc:title>Term Sheet</dc:title>
</cp:coreProperties>
</file>