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Specialist Term Sheet</w:t>
      </w:r>
    </w:p>
    <w:p>
      <w:pPr>
        <w:pStyle w:val="Normal"/>
        <w:autoSpaceDE w:val="false"/>
        <w:rPr>
          <w:rFonts w:ascii="Arial" w:hAnsi="Arial" w:cs="Arial"/>
          <w:b/>
          <w:bCs/>
          <w:sz w:val="32"/>
          <w:szCs w:val="20"/>
        </w:rPr>
      </w:pPr>
      <w:r>
        <w:rPr>
          <w:rFonts w:cs="Arial" w:ascii="Arial" w:hAnsi="Arial"/>
          <w:b/>
          <w:bCs/>
          <w:sz w:val="32"/>
          <w:szCs w:val="20"/>
        </w:rPr>
      </w:r>
    </w:p>
    <w:p>
      <w:pPr>
        <w:pStyle w:val="Heading2"/>
        <w:autoSpaceDE w:val="false"/>
        <w:ind w:hanging="0" w:start="0"/>
        <w:rPr>
          <w:szCs w:val="20"/>
        </w:rPr>
      </w:pPr>
      <w:r>
        <w:rPr>
          <w:szCs w:val="20"/>
        </w:rPr>
        <w:t>Definitions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w:t>
        <w:tab/>
        <w:t>Futures Exchange that is regulated by the CFTC</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e-Exchange:</w:t>
        <w:tab/>
        <w:t>Exchange branded many-to-many electronic marketplace.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Principal Platform:</w:t>
        <w:tab/>
        <w:t>Specialist backed one-to-many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w:t>
        <w:tab/>
        <w:t>Market maker that guarantees a minimum spread and price depth for certain products</w:t>
      </w:r>
    </w:p>
    <w:p>
      <w:pPr>
        <w:pStyle w:val="Normal"/>
        <w:autoSpaceDE w:val="false"/>
        <w:ind w:hanging="4320" w:start="4320" w:end="0"/>
        <w:rPr>
          <w:rFonts w:ascii="Arial" w:hAnsi="Arial" w:cs="Arial"/>
          <w:sz w:val="20"/>
          <w:szCs w:val="20"/>
        </w:rPr>
      </w:pPr>
      <w:r>
        <w:rPr>
          <w:rFonts w:cs="Arial" w:ascii="Arial" w:hAnsi="Arial"/>
          <w:sz w:val="20"/>
          <w:szCs w:val="20"/>
        </w:rPr>
      </w:r>
    </w:p>
    <w:p>
      <w:pPr>
        <w:pStyle w:val="Normal"/>
        <w:autoSpaceDE w:val="false"/>
        <w:rPr>
          <w:rFonts w:ascii="Arial" w:hAnsi="Arial" w:eastAsia="Arial" w:cs="Arial"/>
          <w:b/>
          <w:bCs/>
          <w:sz w:val="20"/>
          <w:szCs w:val="20"/>
        </w:rPr>
      </w:pPr>
      <w:r>
        <w:rPr>
          <w:rFonts w:eastAsia="Arial" w:cs="Arial" w:ascii="Arial" w:hAnsi="Arial"/>
          <w:b/>
          <w:bCs/>
          <w:sz w:val="20"/>
          <w:szCs w:val="20"/>
        </w:rPr>
        <w:t xml:space="preserve">       </w:t>
      </w:r>
    </w:p>
    <w:p>
      <w:pPr>
        <w:pStyle w:val="Normal"/>
        <w:numPr>
          <w:ilvl w:val="0"/>
          <w:numId w:val="4"/>
        </w:numPr>
        <w:tabs>
          <w:tab w:val="clear" w:pos="720"/>
          <w:tab w:val="left" w:pos="0" w:leader="none"/>
        </w:tabs>
        <w:autoSpaceDE w:val="false"/>
        <w:ind w:hanging="0" w:start="0" w:end="0"/>
        <w:rPr>
          <w:rFonts w:ascii="Arial" w:hAnsi="Arial" w:cs="Arial"/>
          <w:b/>
          <w:bCs/>
          <w:sz w:val="20"/>
          <w:szCs w:val="20"/>
        </w:rPr>
      </w:pPr>
      <w:r>
        <w:rPr>
          <w:rFonts w:cs="Arial" w:ascii="Arial" w:hAnsi="Arial"/>
          <w:b/>
          <w:bCs/>
          <w:sz w:val="20"/>
          <w:szCs w:val="20"/>
        </w:rPr>
        <w:t>Specialist Role</w:t>
      </w:r>
    </w:p>
    <w:p>
      <w:pPr>
        <w:pStyle w:val="Normal"/>
        <w:autoSpaceDE w:val="false"/>
        <w:rPr>
          <w:rFonts w:ascii="Arial" w:hAnsi="Arial" w:cs="Arial"/>
          <w:b/>
          <w:bCs/>
          <w:sz w:val="20"/>
          <w:szCs w:val="20"/>
        </w:rPr>
      </w:pPr>
      <w:r>
        <w:rPr>
          <w:rFonts w:cs="Arial" w:ascii="Arial" w:hAnsi="Arial"/>
          <w:b/>
          <w:bCs/>
          <w:sz w:val="20"/>
          <w:szCs w:val="20"/>
        </w:rPr>
      </w:r>
    </w:p>
    <w:p>
      <w:pPr>
        <w:pStyle w:val="Heading1"/>
        <w:ind w:hanging="0" w:start="0"/>
        <w:rPr/>
      </w:pPr>
      <w:r>
        <w:rPr/>
        <w:t>Specialist responsibilities</w:t>
      </w:r>
    </w:p>
    <w:p>
      <w:pPr>
        <w:pStyle w:val="Normal"/>
        <w:rPr/>
      </w:pPr>
      <w:r>
        <w:rPr/>
      </w:r>
    </w:p>
    <w:p>
      <w:pPr>
        <w:pStyle w:val="Normal"/>
        <w:rPr>
          <w:rFonts w:ascii="Arial" w:hAnsi="Arial" w:cs="Arial"/>
          <w:sz w:val="20"/>
          <w:szCs w:val="20"/>
        </w:rPr>
      </w:pPr>
      <w:r>
        <w:rPr>
          <w:rFonts w:cs="Arial" w:ascii="Arial" w:hAnsi="Arial"/>
          <w:sz w:val="20"/>
          <w:szCs w:val="20"/>
        </w:rPr>
        <w:t>The Specialist will act as the Exchange’s market maker for yet to be determined Specified Products.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will participate as a principal in transactions on Specified Products on the e-Exchange and on the Exchange.  </w:t>
        <w:br/>
      </w:r>
    </w:p>
    <w:p>
      <w:pPr>
        <w:pStyle w:val="Normal"/>
        <w:numPr>
          <w:ilvl w:val="0"/>
          <w:numId w:val="2"/>
        </w:numPr>
        <w:autoSpaceDE w:val="false"/>
        <w:rPr>
          <w:rFonts w:ascii="Arial" w:hAnsi="Arial" w:cs="Arial"/>
          <w:sz w:val="20"/>
          <w:szCs w:val="20"/>
        </w:rPr>
      </w:pPr>
      <w:r>
        <w:rPr>
          <w:rFonts w:cs="Arial" w:ascii="Arial" w:hAnsi="Arial"/>
          <w:sz w:val="20"/>
          <w:szCs w:val="20"/>
        </w:rPr>
        <w:t>Specialist will electronically post prices and volumes for the Specified Products to the Exchange database for real-time distribution to the e-Exchange and to the Exchange Floor.</w:t>
        <w:br/>
      </w:r>
    </w:p>
    <w:p>
      <w:pPr>
        <w:pStyle w:val="Normal"/>
        <w:numPr>
          <w:ilvl w:val="0"/>
          <w:numId w:val="2"/>
        </w:numPr>
        <w:autoSpaceDE w:val="false"/>
        <w:rPr>
          <w:rFonts w:ascii="Arial" w:hAnsi="Arial" w:cs="Arial"/>
          <w:sz w:val="20"/>
          <w:szCs w:val="20"/>
        </w:rPr>
      </w:pPr>
      <w:r>
        <w:rPr>
          <w:rFonts w:cs="Arial" w:ascii="Arial" w:hAnsi="Arial"/>
          <w:sz w:val="20"/>
          <w:szCs w:val="20"/>
        </w:rPr>
        <w:t>Specialist will have the right, but not the obligation, to electronically post prices and volumes for non-Specified Products to the e-Exchange and Exchange Floor.</w:t>
        <w:br/>
        <w:t xml:space="preserve"> </w:t>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shall use commercially reasonable efforts to maintain a competitive bid/offer spread on the Specified Products.  Specialist will have sole discretion to widen the spread as required by market conditions. </w:t>
        <w:br/>
      </w:r>
    </w:p>
    <w:p>
      <w:pPr>
        <w:pStyle w:val="Normal"/>
        <w:numPr>
          <w:ilvl w:val="0"/>
          <w:numId w:val="2"/>
        </w:numPr>
        <w:autoSpaceDE w:val="false"/>
        <w:rPr>
          <w:rFonts w:ascii="Arial" w:hAnsi="Arial" w:cs="Arial"/>
          <w:sz w:val="20"/>
          <w:szCs w:val="20"/>
        </w:rPr>
      </w:pPr>
      <w:r>
        <w:rPr>
          <w:rFonts w:cs="Arial" w:ascii="Arial" w:hAnsi="Arial"/>
          <w:sz w:val="20"/>
          <w:szCs w:val="20"/>
        </w:rPr>
        <w:t>Specialist will use commercially reasonable efforts to maintain a bid and an offer on the Specified Products during all hours that the Exchange is open for business.</w:t>
        <w:br/>
      </w:r>
    </w:p>
    <w:p>
      <w:pPr>
        <w:pStyle w:val="Heading1"/>
        <w:ind w:hanging="0" w:start="0"/>
        <w:rPr>
          <w:rFonts w:ascii="Arial" w:hAnsi="Arial" w:cs="Arial"/>
          <w:sz w:val="20"/>
          <w:szCs w:val="20"/>
        </w:rPr>
      </w:pPr>
      <w:r>
        <w:rPr>
          <w:rFonts w:cs="Arial"/>
          <w:sz w:val="20"/>
          <w:szCs w:val="20"/>
        </w:rPr>
      </w:r>
    </w:p>
    <w:p>
      <w:pPr>
        <w:pStyle w:val="Heading1"/>
        <w:ind w:hanging="0" w:start="0"/>
        <w:rPr/>
      </w:pPr>
      <w:r>
        <w:rPr/>
        <w:t>Exchange responsibilities</w:t>
        <w:br/>
      </w:r>
    </w:p>
    <w:p>
      <w:pPr>
        <w:pStyle w:val="Normal"/>
        <w:rPr>
          <w:rFonts w:ascii="Arial" w:hAnsi="Arial" w:cs="Arial"/>
          <w:sz w:val="20"/>
          <w:szCs w:val="20"/>
        </w:rPr>
      </w:pPr>
      <w:r>
        <w:rPr>
          <w:rFonts w:cs="Arial" w:ascii="Arial" w:hAnsi="Arial"/>
          <w:sz w:val="20"/>
          <w:szCs w:val="20"/>
        </w:rPr>
        <w:t>The Exchange will host and operate an e-Exchange and a wireless system that will stream transactable prices and volumes to the Exchange Floor.</w:t>
      </w:r>
    </w:p>
    <w:p>
      <w:pPr>
        <w:pStyle w:val="Normal"/>
        <w:autoSpaceDE w:val="false"/>
        <w:rPr>
          <w:rFonts w:ascii="Arial" w:hAnsi="Arial" w:cs="Arial"/>
          <w:sz w:val="20"/>
          <w:szCs w:val="20"/>
          <w:u w:val="single"/>
        </w:rPr>
      </w:pPr>
      <w:r>
        <w:rPr>
          <w:rFonts w:cs="Arial" w:ascii="Arial" w:hAnsi="Arial"/>
          <w:sz w:val="20"/>
          <w:szCs w:val="20"/>
          <w:u w:val="single"/>
        </w:rPr>
      </w:r>
    </w:p>
    <w:p>
      <w:pPr>
        <w:pStyle w:val="Normal"/>
        <w:numPr>
          <w:ilvl w:val="0"/>
          <w:numId w:val="6"/>
        </w:numPr>
        <w:autoSpaceDE w:val="false"/>
        <w:rPr>
          <w:rFonts w:ascii="Arial" w:hAnsi="Arial" w:cs="Arial"/>
          <w:sz w:val="20"/>
          <w:szCs w:val="20"/>
        </w:rPr>
      </w:pPr>
      <w:r>
        <w:rPr>
          <w:rFonts w:cs="Arial" w:ascii="Arial" w:hAnsi="Arial"/>
          <w:sz w:val="20"/>
          <w:szCs w:val="20"/>
        </w:rPr>
        <w:t>Exchange will provide Specialist with the requisite real-time electronic interfaces that allow Specialist to communicate electronically with the e-Exchange and the Exchange Floor according to the specifications defined in Appendix A.</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6"/>
        </w:numPr>
        <w:autoSpaceDE w:val="false"/>
        <w:rPr>
          <w:rFonts w:ascii="Arial" w:hAnsi="Arial" w:cs="Arial"/>
          <w:sz w:val="20"/>
          <w:szCs w:val="20"/>
        </w:rPr>
      </w:pPr>
      <w:r>
        <w:rPr>
          <w:rFonts w:cs="Arial" w:ascii="Arial" w:hAnsi="Arial"/>
          <w:sz w:val="20"/>
          <w:szCs w:val="20"/>
        </w:rPr>
        <w:t>Exchange will allow Specialist to transmit its price/volume indications to the e-Exchange and to the wireless devices on the Exchange Floor.</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6"/>
        </w:numPr>
        <w:autoSpaceDE w:val="false"/>
        <w:rPr>
          <w:rFonts w:ascii="Arial" w:hAnsi="Arial" w:cs="Arial"/>
          <w:sz w:val="20"/>
          <w:szCs w:val="20"/>
        </w:rPr>
      </w:pPr>
      <w:r>
        <w:rPr>
          <w:rFonts w:cs="Arial" w:ascii="Arial" w:hAnsi="Arial"/>
          <w:sz w:val="20"/>
          <w:szCs w:val="20"/>
        </w:rPr>
        <w:t>Exchange will provide Specialist with the option to transmit e-Exchange price/volume orders to Specialist’s Principal Platform for both Specified Products and non-Specified Products.</w:t>
        <w:br/>
      </w:r>
    </w:p>
    <w:p>
      <w:pPr>
        <w:pStyle w:val="Normal"/>
        <w:numPr>
          <w:ilvl w:val="0"/>
          <w:numId w:val="6"/>
        </w:numPr>
        <w:autoSpaceDE w:val="false"/>
        <w:rPr>
          <w:rFonts w:ascii="Arial" w:hAnsi="Arial" w:cs="Arial"/>
          <w:sz w:val="20"/>
          <w:szCs w:val="20"/>
        </w:rPr>
      </w:pPr>
      <w:r>
        <w:rPr>
          <w:rFonts w:cs="Arial" w:ascii="Arial" w:hAnsi="Arial"/>
          <w:sz w:val="20"/>
          <w:szCs w:val="20"/>
        </w:rPr>
        <w:t>Exchange will provide Specialist with generic counterpart information on all transactions that Specialist is a party to (hedge fund, producer, consumer, speculator, etc.).</w:t>
      </w:r>
    </w:p>
    <w:p>
      <w:pPr>
        <w:pStyle w:val="Normal"/>
        <w:autoSpaceDE w:val="false"/>
        <w:ind w:start="780" w:end="0"/>
        <w:rPr>
          <w:rFonts w:ascii="Arial" w:hAnsi="Arial" w:cs="Arial"/>
          <w:sz w:val="20"/>
          <w:szCs w:val="20"/>
        </w:rPr>
      </w:pPr>
      <w:r>
        <w:rPr>
          <w:rFonts w:cs="Arial" w:ascii="Arial" w:hAnsi="Arial"/>
          <w:sz w:val="20"/>
          <w:szCs w:val="20"/>
        </w:rPr>
      </w:r>
    </w:p>
    <w:p>
      <w:pPr>
        <w:pStyle w:val="Normal"/>
        <w:numPr>
          <w:ilvl w:val="0"/>
          <w:numId w:val="6"/>
        </w:numPr>
        <w:autoSpaceDE w:val="false"/>
        <w:rPr>
          <w:rFonts w:ascii="Arial" w:hAnsi="Arial" w:cs="Arial"/>
          <w:sz w:val="20"/>
          <w:szCs w:val="20"/>
        </w:rPr>
      </w:pPr>
      <w:r>
        <w:rPr>
          <w:rFonts w:cs="Arial" w:ascii="Arial" w:hAnsi="Arial"/>
          <w:sz w:val="20"/>
          <w:szCs w:val="20"/>
        </w:rPr>
        <w:t>Exchange will continue to operate its open outcry Exchange Floor.</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pPr>
      <w:r>
        <w:rPr>
          <w:rFonts w:cs="Arial" w:ascii="Arial" w:hAnsi="Arial"/>
          <w:b/>
          <w:bCs/>
          <w:sz w:val="20"/>
          <w:szCs w:val="20"/>
        </w:rPr>
        <w:t>Compensation</w:t>
      </w:r>
    </w:p>
    <w:p>
      <w:pPr>
        <w:pStyle w:val="Normal"/>
        <w:rPr/>
      </w:pPr>
      <w:r>
        <w:rPr/>
      </w:r>
    </w:p>
    <w:p>
      <w:pPr>
        <w:pStyle w:val="Heading1"/>
        <w:ind w:hanging="0" w:start="0"/>
        <w:rPr/>
      </w:pPr>
      <w:r>
        <w:rPr/>
        <w:t>Specialist Compensation</w:t>
      </w:r>
    </w:p>
    <w:p>
      <w:pPr>
        <w:pStyle w:val="Normal"/>
        <w:autoSpaceDE w:val="false"/>
        <w:rPr>
          <w:rFonts w:ascii="Arial" w:hAnsi="Arial" w:cs="Arial"/>
          <w:sz w:val="20"/>
          <w:szCs w:val="20"/>
        </w:rPr>
      </w:pPr>
      <w:r>
        <w:rPr>
          <w:rFonts w:cs="Arial" w:ascii="Arial" w:hAnsi="Arial"/>
          <w:sz w:val="20"/>
          <w:szCs w:val="20"/>
        </w:rPr>
      </w:r>
    </w:p>
    <w:p>
      <w:pPr>
        <w:pStyle w:val="Normal"/>
        <w:numPr>
          <w:ilvl w:val="1"/>
          <w:numId w:val="4"/>
        </w:numPr>
        <w:tabs>
          <w:tab w:val="left" w:pos="720" w:leader="none"/>
        </w:tabs>
        <w:autoSpaceDE w:val="false"/>
        <w:ind w:hanging="360" w:start="1080" w:end="0"/>
        <w:rPr>
          <w:rFonts w:ascii="Arial" w:hAnsi="Arial" w:cs="Arial"/>
          <w:sz w:val="20"/>
          <w:szCs w:val="20"/>
        </w:rPr>
      </w:pPr>
      <w:r>
        <w:rPr>
          <w:rFonts w:cs="Arial" w:ascii="Arial" w:hAnsi="Arial"/>
          <w:sz w:val="20"/>
          <w:szCs w:val="20"/>
        </w:rPr>
        <w:t>Exchange will give Specialist a 50% fill participation in any transaction in which Specialist has joined a bid or offer that trades.</w:t>
        <w:br/>
      </w:r>
    </w:p>
    <w:p>
      <w:pPr>
        <w:pStyle w:val="Normal"/>
        <w:numPr>
          <w:ilvl w:val="1"/>
          <w:numId w:val="4"/>
        </w:numPr>
        <w:tabs>
          <w:tab w:val="left" w:pos="720" w:leader="none"/>
        </w:tabs>
        <w:autoSpaceDE w:val="false"/>
        <w:ind w:hanging="360" w:start="1080" w:end="0"/>
        <w:rPr>
          <w:rFonts w:ascii="Arial" w:hAnsi="Arial" w:cs="Arial"/>
          <w:sz w:val="20"/>
          <w:szCs w:val="20"/>
        </w:rPr>
      </w:pPr>
      <w:r>
        <w:rPr>
          <w:rFonts w:cs="Arial" w:ascii="Arial" w:hAnsi="Arial"/>
          <w:sz w:val="20"/>
          <w:szCs w:val="20"/>
        </w:rPr>
        <w:t xml:space="preserve">Exchange will give Specialist a 100% fill participation in any transaction in which another market participant has joined Specialist’s bid or offer that trades. </w:t>
        <w:br/>
      </w:r>
    </w:p>
    <w:p>
      <w:pPr>
        <w:pStyle w:val="Heading1"/>
        <w:tabs>
          <w:tab w:val="clear" w:pos="720"/>
          <w:tab w:val="left" w:pos="1080" w:leader="none"/>
        </w:tabs>
        <w:ind w:hanging="0" w:start="0"/>
        <w:rPr>
          <w:rFonts w:ascii="Arial" w:hAnsi="Arial" w:cs="Arial"/>
          <w:sz w:val="20"/>
          <w:szCs w:val="20"/>
        </w:rPr>
      </w:pPr>
      <w:r>
        <w:rPr>
          <w:rFonts w:cs="Arial"/>
          <w:sz w:val="20"/>
          <w:szCs w:val="20"/>
        </w:rPr>
      </w:r>
    </w:p>
    <w:p>
      <w:pPr>
        <w:pStyle w:val="Heading1"/>
        <w:ind w:hanging="0" w:start="0"/>
        <w:rPr>
          <w:u w:val="none"/>
        </w:rPr>
      </w:pPr>
      <w:r>
        <w:rPr/>
        <w:t>Exchange Compensation</w:t>
      </w:r>
    </w:p>
    <w:p>
      <w:pPr>
        <w:pStyle w:val="Normal"/>
        <w:autoSpaceDE w:val="false"/>
        <w:ind w:start="1080" w:end="0"/>
        <w:rPr>
          <w:rFonts w:ascii="Arial" w:hAnsi="Arial" w:cs="Arial"/>
          <w:sz w:val="20"/>
          <w:szCs w:val="20"/>
          <w:u w:val="none"/>
        </w:rPr>
      </w:pPr>
      <w:r>
        <w:rPr>
          <w:rFonts w:cs="Arial" w:ascii="Arial" w:hAnsi="Arial"/>
          <w:sz w:val="20"/>
          <w:szCs w:val="20"/>
          <w:u w:val="none"/>
        </w:rPr>
      </w:r>
    </w:p>
    <w:p>
      <w:pPr>
        <w:pStyle w:val="Normal"/>
        <w:numPr>
          <w:ilvl w:val="0"/>
          <w:numId w:val="7"/>
        </w:numPr>
        <w:tabs>
          <w:tab w:val="clear" w:pos="720"/>
          <w:tab w:val="left" w:pos="1080" w:leader="none"/>
        </w:tabs>
        <w:autoSpaceDE w:val="false"/>
        <w:ind w:hanging="360" w:start="1080" w:end="0"/>
        <w:rPr>
          <w:rFonts w:ascii="Arial" w:hAnsi="Arial" w:cs="Arial"/>
          <w:sz w:val="20"/>
          <w:szCs w:val="20"/>
        </w:rPr>
      </w:pPr>
      <w:r>
        <w:rPr>
          <w:rFonts w:cs="Arial" w:ascii="Arial" w:hAnsi="Arial"/>
          <w:sz w:val="20"/>
          <w:szCs w:val="20"/>
        </w:rPr>
        <w:t>Exchange will charge Specialist local clearing rates for all transactions on Specified Products in which Specialist’s posted price is either hit or lifted (passive trade).</w:t>
        <w:br/>
      </w:r>
    </w:p>
    <w:p>
      <w:pPr>
        <w:pStyle w:val="Normal"/>
        <w:numPr>
          <w:ilvl w:val="0"/>
          <w:numId w:val="7"/>
        </w:numPr>
        <w:tabs>
          <w:tab w:val="clear" w:pos="720"/>
          <w:tab w:val="left" w:pos="1080" w:leader="none"/>
        </w:tabs>
        <w:autoSpaceDE w:val="false"/>
        <w:ind w:hanging="360" w:start="1080" w:end="0"/>
        <w:rPr>
          <w:rFonts w:ascii="Arial" w:hAnsi="Arial" w:cs="Arial"/>
          <w:sz w:val="20"/>
          <w:szCs w:val="20"/>
        </w:rPr>
      </w:pPr>
      <w:r>
        <w:rPr>
          <w:rFonts w:cs="Arial" w:ascii="Arial" w:hAnsi="Arial"/>
          <w:sz w:val="20"/>
          <w:szCs w:val="20"/>
        </w:rPr>
        <w:t>Exchange will charge Specialist the local clearing rates plus an exchange transaction fee for all transactions on Specified Products in which Specialist hits another market participants bid or lifts another market participants offer (proactive trading).</w:t>
        <w:br/>
      </w:r>
    </w:p>
    <w:p>
      <w:pPr>
        <w:pStyle w:val="Normal"/>
        <w:numPr>
          <w:ilvl w:val="0"/>
          <w:numId w:val="7"/>
        </w:numPr>
        <w:tabs>
          <w:tab w:val="clear" w:pos="720"/>
          <w:tab w:val="left" w:pos="1080" w:leader="none"/>
        </w:tabs>
        <w:autoSpaceDE w:val="false"/>
        <w:ind w:hanging="360" w:start="1080" w:end="0"/>
        <w:rPr>
          <w:rFonts w:ascii="Arial" w:hAnsi="Arial" w:cs="Arial"/>
          <w:sz w:val="20"/>
          <w:szCs w:val="20"/>
        </w:rPr>
      </w:pPr>
      <w:r>
        <w:rPr>
          <w:rFonts w:cs="Arial" w:ascii="Arial" w:hAnsi="Arial"/>
          <w:sz w:val="20"/>
          <w:szCs w:val="20"/>
        </w:rPr>
        <w:t>Exchange will charge Specialist the local clearing rates plus an exchange transaction fee for all transactions on non-Specified Products.</w:t>
        <w:br/>
      </w:r>
    </w:p>
    <w:p>
      <w:pPr>
        <w:pStyle w:val="Normal"/>
        <w:numPr>
          <w:ilvl w:val="0"/>
          <w:numId w:val="7"/>
        </w:numPr>
        <w:tabs>
          <w:tab w:val="clear" w:pos="720"/>
          <w:tab w:val="left" w:pos="1080" w:leader="none"/>
        </w:tabs>
        <w:ind w:hanging="360" w:start="1080" w:end="0"/>
        <w:rPr>
          <w:rFonts w:ascii="Arial" w:hAnsi="Arial" w:cs="Arial"/>
          <w:sz w:val="20"/>
          <w:szCs w:val="20"/>
        </w:rPr>
      </w:pPr>
      <w:r>
        <w:rPr>
          <w:rFonts w:cs="Arial" w:ascii="Arial" w:hAnsi="Arial"/>
          <w:sz w:val="20"/>
          <w:szCs w:val="20"/>
        </w:rPr>
        <w:t xml:space="preserve">Exchange will charge third parties transacting on Specialist prices clearing and exchange transaction fees.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eastAsia="Arial" w:cs="Arial" w:ascii="Arial" w:hAnsi="Arial"/>
          <w:b/>
          <w:bCs/>
          <w:sz w:val="20"/>
          <w:szCs w:val="20"/>
        </w:rPr>
        <w:t xml:space="preserve"> </w:t>
      </w:r>
      <w:r>
        <w:rPr>
          <w:rFonts w:cs="Arial" w:ascii="Arial" w:hAnsi="Arial"/>
          <w:b/>
          <w:bCs/>
          <w:sz w:val="20"/>
          <w:szCs w:val="20"/>
        </w:rPr>
        <w:t>Exclusivity/Term</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5"/>
        </w:numPr>
        <w:tabs>
          <w:tab w:val="clear" w:pos="720"/>
          <w:tab w:val="left" w:pos="1440" w:leader="none"/>
        </w:tabs>
        <w:autoSpaceDE w:val="false"/>
        <w:rPr>
          <w:rFonts w:ascii="Arial" w:hAnsi="Arial" w:cs="Arial"/>
          <w:sz w:val="20"/>
          <w:szCs w:val="20"/>
        </w:rPr>
      </w:pPr>
      <w:r>
        <w:rPr>
          <w:rFonts w:cs="Arial" w:ascii="Arial" w:hAnsi="Arial"/>
          <w:sz w:val="20"/>
          <w:szCs w:val="20"/>
        </w:rPr>
        <w:t>Exchange will give Specialist an exclusive specialist role in the Specified Products for 2 years.   Specialist will have right of first refusal to extend this term based upon negotiated terms that will contemplate any proposals provided to the Exchange by an independent third party requesting the specialist role.</w:t>
        <w:br/>
      </w:r>
    </w:p>
    <w:p>
      <w:pPr>
        <w:pStyle w:val="Normal"/>
        <w:numPr>
          <w:ilvl w:val="0"/>
          <w:numId w:val="5"/>
        </w:numPr>
        <w:tabs>
          <w:tab w:val="clear" w:pos="720"/>
          <w:tab w:val="left" w:pos="1440" w:leader="none"/>
        </w:tabs>
        <w:autoSpaceDE w:val="false"/>
        <w:rPr>
          <w:rFonts w:ascii="Arial" w:hAnsi="Arial" w:cs="Arial"/>
          <w:sz w:val="20"/>
          <w:szCs w:val="20"/>
        </w:rPr>
      </w:pPr>
      <w:r>
        <w:rPr>
          <w:rFonts w:cs="Arial" w:ascii="Arial" w:hAnsi="Arial"/>
          <w:sz w:val="20"/>
          <w:szCs w:val="20"/>
        </w:rPr>
        <w:t>If Exchange decides to offer a specialist role for any product to an independent third party whose line of business competes with the Specialist, its parent or any of its affiliated companies’ core businesses, Specialist will have the right of first refusal to assume the specialist role under the same terms and conditions offered to the independent third party.</w:t>
        <w:br/>
      </w:r>
      <w:r>
        <w:br w:type="page"/>
      </w:r>
    </w:p>
    <w:p>
      <w:pPr>
        <w:pStyle w:val="Heading2"/>
        <w:ind w:hanging="0" w:start="0"/>
        <w:rPr/>
      </w:pPr>
      <w:r>
        <w:rPr/>
        <w:t>APPENDIX A</w:t>
      </w:r>
    </w:p>
    <w:p>
      <w:pPr>
        <w:pStyle w:val="Normal"/>
        <w:rPr/>
      </w:pPr>
      <w:r>
        <w:rPr/>
      </w:r>
    </w:p>
    <w:p>
      <w:pPr>
        <w:pStyle w:val="BodyTextIndent2"/>
        <w:ind w:start="0" w:end="0"/>
        <w:rPr/>
      </w:pPr>
      <w:r>
        <w:rPr/>
        <w:t>Electronic Interfaces</w:t>
        <w:br/>
      </w:r>
    </w:p>
    <w:p>
      <w:pPr>
        <w:pStyle w:val="BodyTextIndent2"/>
        <w:ind w:start="0" w:end="0"/>
        <w:rPr/>
      </w:pPr>
      <w:r>
        <w:rPr/>
        <w:t>The Electronic Interface between the Exchange and Specialist will accept the data format utilized by Specialist and allow the following:</w:t>
        <w:br/>
      </w:r>
    </w:p>
    <w:p>
      <w:pPr>
        <w:pStyle w:val="Normal"/>
        <w:numPr>
          <w:ilvl w:val="0"/>
          <w:numId w:val="3"/>
        </w:numPr>
        <w:tabs>
          <w:tab w:val="left" w:pos="720" w:leader="none"/>
        </w:tabs>
        <w:ind w:hanging="360" w:start="720" w:end="0"/>
        <w:rPr>
          <w:rFonts w:ascii="Arial" w:hAnsi="Arial" w:cs="Arial"/>
          <w:sz w:val="20"/>
        </w:rPr>
      </w:pPr>
      <w:r>
        <w:rPr>
          <w:rFonts w:cs="Arial" w:ascii="Arial" w:hAnsi="Arial"/>
          <w:sz w:val="20"/>
        </w:rPr>
        <w:t>Specialist to post prices and volumes on the e-exchange and wireless devices</w:t>
      </w:r>
    </w:p>
    <w:p>
      <w:pPr>
        <w:pStyle w:val="Normal"/>
        <w:numPr>
          <w:ilvl w:val="0"/>
          <w:numId w:val="3"/>
        </w:numPr>
        <w:tabs>
          <w:tab w:val="left" w:pos="720" w:leader="none"/>
        </w:tabs>
        <w:ind w:hanging="360" w:start="720" w:end="0"/>
        <w:rPr>
          <w:rFonts w:ascii="Arial" w:hAnsi="Arial" w:cs="Arial"/>
          <w:sz w:val="20"/>
        </w:rPr>
      </w:pPr>
      <w:r>
        <w:rPr>
          <w:rFonts w:cs="Arial" w:ascii="Arial" w:hAnsi="Arial"/>
          <w:sz w:val="20"/>
        </w:rPr>
        <w:t>Specialist to update prices and volumes transmitted through interface and replace all prior updates</w:t>
      </w:r>
    </w:p>
    <w:p>
      <w:pPr>
        <w:pStyle w:val="Normal"/>
        <w:numPr>
          <w:ilvl w:val="0"/>
          <w:numId w:val="3"/>
        </w:numPr>
        <w:tabs>
          <w:tab w:val="left" w:pos="720" w:leader="none"/>
        </w:tabs>
        <w:ind w:hanging="360" w:start="720" w:end="0"/>
        <w:rPr>
          <w:rFonts w:ascii="Arial" w:hAnsi="Arial" w:cs="Arial"/>
          <w:sz w:val="20"/>
        </w:rPr>
      </w:pPr>
      <w:r>
        <w:rPr>
          <w:rFonts w:cs="Arial" w:ascii="Arial" w:hAnsi="Arial"/>
          <w:sz w:val="20"/>
        </w:rPr>
        <w:t>Exchange customers to initiate transactions with Specialist through the e-Exchange and wireless devices</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numPr>
          <w:ilvl w:val="1"/>
          <w:numId w:val="8"/>
        </w:numPr>
        <w:tabs>
          <w:tab w:val="left" w:pos="720" w:leader="none"/>
        </w:tabs>
        <w:ind w:hanging="360" w:start="720" w:end="0"/>
        <w:rPr>
          <w:rFonts w:ascii="Arial" w:hAnsi="Arial" w:cs="Arial"/>
          <w:sz w:val="20"/>
        </w:rPr>
      </w:pPr>
      <w:r>
        <w:rPr>
          <w:rFonts w:cs="Arial" w:ascii="Arial" w:hAnsi="Arial"/>
          <w:sz w:val="20"/>
        </w:rPr>
        <w:t>Specialist to inquire about successful and unsuccessful transactions.</w:t>
      </w:r>
    </w:p>
    <w:p>
      <w:pPr>
        <w:pStyle w:val="Heading2"/>
        <w:ind w:hanging="0" w:start="0"/>
        <w:rPr/>
      </w:pPr>
      <w:r>
        <w:rPr/>
        <w:t>APPENDIX B</w:t>
        <w:br/>
      </w:r>
    </w:p>
    <w:p>
      <w:pPr>
        <w:pStyle w:val="Normal"/>
        <w:rPr>
          <w:rFonts w:ascii="Arial" w:hAnsi="Arial" w:cs="Arial"/>
          <w:sz w:val="20"/>
        </w:rPr>
      </w:pPr>
      <w:r>
        <w:rPr/>
        <w:t>General Diagram</w:t>
      </w:r>
    </w:p>
    <w:p>
      <w:pPr>
        <w:pStyle w:val="Normal"/>
        <w:rPr>
          <w:rFonts w:ascii="Arial" w:hAnsi="Arial" w:cs="Arial"/>
          <w:sz w:val="20"/>
          <w:lang w:val="en-CA" w:eastAsia="en-CA"/>
        </w:rPr>
      </w:pPr>
      <w:r>
        <w:rPr>
          <w:rFonts w:cs="Arial" w:ascii="Arial" w:hAnsi="Arial"/>
          <w:sz w:val="20"/>
          <w:lang w:val="en-CA" w:eastAsia="en-CA"/>
        </w:rPr>
        <mc:AlternateContent>
          <mc:Choice Requires="wpg">
            <w:drawing>
              <wp:anchor behindDoc="0" distT="0" distB="0" distL="114935" distR="114935" simplePos="0" locked="0" layoutInCell="1" allowOverlap="1" relativeHeight="3">
                <wp:simplePos x="0" y="0"/>
                <wp:positionH relativeFrom="column">
                  <wp:posOffset>0</wp:posOffset>
                </wp:positionH>
                <wp:positionV relativeFrom="paragraph">
                  <wp:posOffset>332740</wp:posOffset>
                </wp:positionV>
                <wp:extent cx="5487035" cy="6437630"/>
                <wp:effectExtent l="5080" t="0" r="3175" b="0"/>
                <wp:wrapNone/>
                <wp:docPr id="1" name=""/>
                <a:graphic xmlns:a="http://schemas.openxmlformats.org/drawingml/2006/main">
                  <a:graphicData uri="http://schemas.microsoft.com/office/word/2010/wordprocessingGroup">
                    <wpg:wgp>
                      <wpg:cNvGrpSpPr/>
                      <wpg:grpSpPr>
                        <a:xfrm>
                          <a:off x="0" y="0"/>
                          <a:ext cx="5487120" cy="6437520"/>
                          <a:chOff x="0" y="0"/>
                          <a:chExt cx="5487120" cy="6437520"/>
                        </a:xfrm>
                      </wpg:grpSpPr>
                      <wps:wsp>
                        <wps:cNvPr id="2" name=""/>
                        <wps:cNvSpPr/>
                        <wps:spPr>
                          <a:xfrm>
                            <a:off x="0" y="76320"/>
                            <a:ext cx="5484960" cy="1321920"/>
                          </a:xfrm>
                          <a:prstGeom prst="rect">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3" name="j0261828" descr=""/>
                          <pic:cNvPicPr/>
                        </pic:nvPicPr>
                        <pic:blipFill>
                          <a:blip r:embed="rId2"/>
                          <a:stretch/>
                        </pic:blipFill>
                        <pic:spPr>
                          <a:xfrm>
                            <a:off x="2166120" y="1891080"/>
                            <a:ext cx="1106280" cy="1509480"/>
                          </a:xfrm>
                          <a:prstGeom prst="rect">
                            <a:avLst/>
                          </a:prstGeom>
                          <a:solidFill>
                            <a:srgbClr val="ffffff"/>
                          </a:solidFill>
                          <a:ln w="9360">
                            <a:solidFill>
                              <a:srgbClr val="ffffff"/>
                            </a:solidFill>
                            <a:miter/>
                          </a:ln>
                        </pic:spPr>
                      </pic:pic>
                      <pic:pic xmlns:pic="http://schemas.openxmlformats.org/drawingml/2006/picture">
                        <pic:nvPicPr>
                          <pic:cNvPr id="4" name="j0282454" descr=""/>
                          <pic:cNvPicPr/>
                        </pic:nvPicPr>
                        <pic:blipFill>
                          <a:blip r:embed="rId3"/>
                          <a:stretch/>
                        </pic:blipFill>
                        <pic:spPr>
                          <a:xfrm>
                            <a:off x="3961080" y="784080"/>
                            <a:ext cx="1256760" cy="466200"/>
                          </a:xfrm>
                          <a:prstGeom prst="rect">
                            <a:avLst/>
                          </a:prstGeom>
                          <a:noFill/>
                          <a:ln w="0">
                            <a:noFill/>
                          </a:ln>
                        </pic:spPr>
                      </pic:pic>
                      <pic:pic xmlns:pic="http://schemas.openxmlformats.org/drawingml/2006/picture">
                        <pic:nvPicPr>
                          <pic:cNvPr id="5" name="j0282454" descr=""/>
                          <pic:cNvPicPr/>
                        </pic:nvPicPr>
                        <pic:blipFill>
                          <a:blip r:embed="rId4"/>
                          <a:stretch/>
                        </pic:blipFill>
                        <pic:spPr>
                          <a:xfrm>
                            <a:off x="2094840" y="784080"/>
                            <a:ext cx="1256760" cy="466200"/>
                          </a:xfrm>
                          <a:prstGeom prst="rect">
                            <a:avLst/>
                          </a:prstGeom>
                          <a:noFill/>
                          <a:ln w="0">
                            <a:noFill/>
                          </a:ln>
                        </pic:spPr>
                      </pic:pic>
                      <pic:pic xmlns:pic="http://schemas.openxmlformats.org/drawingml/2006/picture">
                        <pic:nvPicPr>
                          <pic:cNvPr id="6" name="j0282454" descr=""/>
                          <pic:cNvPicPr/>
                        </pic:nvPicPr>
                        <pic:blipFill>
                          <a:blip r:embed="rId5"/>
                          <a:stretch/>
                        </pic:blipFill>
                        <pic:spPr>
                          <a:xfrm>
                            <a:off x="304200" y="784080"/>
                            <a:ext cx="1256760" cy="466200"/>
                          </a:xfrm>
                          <a:prstGeom prst="rect">
                            <a:avLst/>
                          </a:prstGeom>
                          <a:noFill/>
                          <a:ln w="0">
                            <a:noFill/>
                          </a:ln>
                        </pic:spPr>
                      </pic:pic>
                      <pic:pic xmlns:pic="http://schemas.openxmlformats.org/drawingml/2006/picture">
                        <pic:nvPicPr>
                          <pic:cNvPr id="7" name="j0282450" descr=""/>
                          <pic:cNvPicPr/>
                        </pic:nvPicPr>
                        <pic:blipFill>
                          <a:blip r:embed="rId6"/>
                          <a:stretch/>
                        </pic:blipFill>
                        <pic:spPr>
                          <a:xfrm>
                            <a:off x="227880" y="4521240"/>
                            <a:ext cx="1256760" cy="1103040"/>
                          </a:xfrm>
                          <a:prstGeom prst="rect">
                            <a:avLst/>
                          </a:prstGeom>
                          <a:noFill/>
                          <a:ln w="0">
                            <a:noFill/>
                          </a:ln>
                        </pic:spPr>
                      </pic:pic>
                      <pic:pic xmlns:pic="http://schemas.openxmlformats.org/drawingml/2006/picture">
                        <pic:nvPicPr>
                          <pic:cNvPr id="8" name="j0282450" descr=""/>
                          <pic:cNvPicPr/>
                        </pic:nvPicPr>
                        <pic:blipFill>
                          <a:blip r:embed="rId7"/>
                          <a:stretch/>
                        </pic:blipFill>
                        <pic:spPr>
                          <a:xfrm>
                            <a:off x="3961080" y="2097360"/>
                            <a:ext cx="1255320" cy="1103040"/>
                          </a:xfrm>
                          <a:prstGeom prst="rect">
                            <a:avLst/>
                          </a:prstGeom>
                          <a:noFill/>
                          <a:ln w="0">
                            <a:noFill/>
                          </a:ln>
                        </pic:spPr>
                      </pic:pic>
                      <pic:pic xmlns:pic="http://schemas.openxmlformats.org/drawingml/2006/picture">
                        <pic:nvPicPr>
                          <pic:cNvPr id="9" name="j0282512" descr=""/>
                          <pic:cNvPicPr/>
                        </pic:nvPicPr>
                        <pic:blipFill>
                          <a:blip r:embed="rId8"/>
                          <a:stretch/>
                        </pic:blipFill>
                        <pic:spPr>
                          <a:xfrm>
                            <a:off x="4266000" y="4516200"/>
                            <a:ext cx="734760" cy="1122120"/>
                          </a:xfrm>
                          <a:prstGeom prst="rect">
                            <a:avLst/>
                          </a:prstGeom>
                          <a:noFill/>
                          <a:ln w="0">
                            <a:noFill/>
                          </a:ln>
                        </pic:spPr>
                      </pic:pic>
                      <pic:pic xmlns:pic="http://schemas.openxmlformats.org/drawingml/2006/picture">
                        <pic:nvPicPr>
                          <pic:cNvPr id="10" name="j0261828" descr=""/>
                          <pic:cNvPicPr/>
                        </pic:nvPicPr>
                        <pic:blipFill>
                          <a:blip r:embed="rId9"/>
                          <a:stretch/>
                        </pic:blipFill>
                        <pic:spPr>
                          <a:xfrm>
                            <a:off x="2166120" y="4267080"/>
                            <a:ext cx="1106280" cy="1507320"/>
                          </a:xfrm>
                          <a:prstGeom prst="rect">
                            <a:avLst/>
                          </a:prstGeom>
                          <a:noFill/>
                          <a:ln w="0">
                            <a:noFill/>
                          </a:ln>
                        </pic:spPr>
                      </pic:pic>
                      <wps:wsp>
                        <wps:cNvSpPr/>
                        <wps:spPr>
                          <a:xfrm>
                            <a:off x="3309120" y="2666880"/>
                            <a:ext cx="4564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3385080" y="3276720"/>
                            <a:ext cx="956880" cy="11422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983600" y="0"/>
                            <a:ext cx="1520280" cy="456480"/>
                          </a:xfrm>
                          <a:prstGeom prst="rect">
                            <a:avLst/>
                          </a:prstGeom>
                          <a:noFill/>
                          <a:ln w="0">
                            <a:noFill/>
                          </a:ln>
                        </wps:spPr>
                        <wps:txbx>
                          <w:txbxContent>
                            <w:p>
                              <w:pPr>
                                <w:overflowPunct w:val="false"/>
                                <w:autoSpaceDE w:val="false"/>
                                <w:bidi w:val="0"/>
                                <w:rPr/>
                              </w:pPr>
                              <w:r>
                                <w:rPr>
                                  <w:kern w:val="2"/>
                                  <w:sz w:val="48"/>
                                  <w:szCs w:val="48"/>
                                  <w:rFonts w:ascii="Times New Roman" w:hAnsi="Times New Roman" w:eastAsia="Times New Roman" w:cs="Times New Roman"/>
                                  <w:color w:val="000000"/>
                                  <w:lang w:val="en-US" w:bidi="ar-SA"/>
                                </w:rPr>
                                <w:t>Specialists</w:t>
                              </w:r>
                            </w:p>
                          </w:txbxContent>
                        </wps:txbx>
                        <wps:bodyPr wrap="square" anchor="t">
                          <a:noAutofit/>
                        </wps:bodyPr>
                      </wps:wsp>
                      <pic:pic xmlns:pic="http://schemas.openxmlformats.org/drawingml/2006/picture">
                        <pic:nvPicPr>
                          <pic:cNvPr id="11" name="j0261828" descr=""/>
                          <pic:cNvPicPr/>
                        </pic:nvPicPr>
                        <pic:blipFill>
                          <a:blip r:embed="rId10"/>
                          <a:stretch/>
                        </pic:blipFill>
                        <pic:spPr>
                          <a:xfrm>
                            <a:off x="340920" y="1905120"/>
                            <a:ext cx="1106280" cy="1509480"/>
                          </a:xfrm>
                          <a:prstGeom prst="rect">
                            <a:avLst/>
                          </a:prstGeom>
                          <a:noFill/>
                          <a:ln w="0">
                            <a:noFill/>
                          </a:ln>
                        </pic:spPr>
                      </pic:pic>
                      <wps:wsp>
                        <wps:cNvSpPr/>
                        <wps:spPr>
                          <a:xfrm>
                            <a:off x="837720" y="3809880"/>
                            <a:ext cx="0" cy="685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09080" y="5336640"/>
                            <a:ext cx="1468080" cy="456480"/>
                          </a:xfrm>
                          <a:prstGeom prst="rect">
                            <a:avLst/>
                          </a:prstGeom>
                          <a:noFill/>
                          <a:ln w="0">
                            <a:noFill/>
                          </a:ln>
                        </wps:spPr>
                        <wps:bodyPr/>
                      </wps:wsp>
                      <wps:wsp>
                        <wps:cNvSpPr/>
                        <wps:spPr>
                          <a:xfrm>
                            <a:off x="2742480" y="3809880"/>
                            <a:ext cx="0" cy="3805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rot="21585600">
                            <a:off x="178560" y="3352680"/>
                            <a:ext cx="1420560" cy="45648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Principal Platform Database</w:t>
                              </w:r>
                            </w:p>
                          </w:txbxContent>
                        </wps:txbx>
                        <wps:bodyPr wrap="square" anchor="t">
                          <a:noAutofit/>
                        </wps:bodyPr>
                      </wps:wsp>
                      <wps:wsp>
                        <wps:cNvSpPr txBox="1"/>
                        <wps:spPr>
                          <a:xfrm rot="21556800">
                            <a:off x="2181960" y="5790960"/>
                            <a:ext cx="1169640" cy="63936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Clearing Systems</w:t>
                              </w:r>
                            </w:p>
                          </w:txbxContent>
                        </wps:txbx>
                        <wps:bodyPr wrap="square" anchor="t">
                          <a:noAutofit/>
                        </wps:bodyPr>
                      </wps:wsp>
                      <wps:wsp>
                        <wps:cNvSpPr txBox="1"/>
                        <wps:spPr>
                          <a:xfrm rot="31200">
                            <a:off x="3889440" y="5790960"/>
                            <a:ext cx="1595160" cy="45648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Floor Wireless Handheld</w:t>
                              </w:r>
                            </w:p>
                          </w:txbxContent>
                        </wps:txbx>
                        <wps:bodyPr wrap="square" anchor="t">
                          <a:noAutofit/>
                        </wps:bodyPr>
                      </wps:wsp>
                      <wps:wsp>
                        <wps:cNvSpPr txBox="1"/>
                        <wps:spPr>
                          <a:xfrm rot="21514800">
                            <a:off x="2055960" y="3351600"/>
                            <a:ext cx="1166400" cy="45648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Database</w:t>
                              </w:r>
                            </w:p>
                          </w:txbxContent>
                        </wps:txbx>
                        <wps:bodyPr wrap="square" anchor="t">
                          <a:noAutofit/>
                        </wps:bodyPr>
                      </wps:wsp>
                      <wps:wsp>
                        <wps:cNvSpPr txBox="1"/>
                        <wps:spPr>
                          <a:xfrm rot="31200">
                            <a:off x="116280" y="5790240"/>
                            <a:ext cx="1405800" cy="45648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Principal Platform Web Interface</w:t>
                              </w:r>
                            </w:p>
                          </w:txbxContent>
                        </wps:txbx>
                        <wps:bodyPr wrap="square" anchor="t">
                          <a:noAutofit/>
                        </wps:bodyPr>
                      </wps:wsp>
                      <wps:wsp>
                        <wps:cNvSpPr txBox="1"/>
                        <wps:spPr>
                          <a:xfrm rot="31200">
                            <a:off x="3965400" y="3351960"/>
                            <a:ext cx="1137960" cy="45648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e-Exchange Web Interface</w:t>
                              </w:r>
                            </w:p>
                          </w:txbxContent>
                        </wps:txbx>
                        <wps:bodyPr wrap="square" anchor="t">
                          <a:noAutofit/>
                        </wps:bodyPr>
                      </wps:wsp>
                      <wps:wsp>
                        <wps:cNvSpPr txBox="1"/>
                        <wps:spPr>
                          <a:xfrm rot="31200">
                            <a:off x="227880" y="456840"/>
                            <a:ext cx="1405800" cy="27432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1</w:t>
                              </w:r>
                            </w:p>
                          </w:txbxContent>
                        </wps:txbx>
                        <wps:bodyPr wrap="square" anchor="t">
                          <a:noAutofit/>
                        </wps:bodyPr>
                      </wps:wsp>
                      <wps:wsp>
                        <wps:cNvSpPr txBox="1"/>
                        <wps:spPr>
                          <a:xfrm rot="31200">
                            <a:off x="2038680" y="456840"/>
                            <a:ext cx="1405800" cy="27432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2</w:t>
                              </w:r>
                            </w:p>
                          </w:txbxContent>
                        </wps:txbx>
                        <wps:bodyPr wrap="square" anchor="t">
                          <a:noAutofit/>
                        </wps:bodyPr>
                      </wps:wsp>
                      <wps:wsp>
                        <wps:cNvSpPr txBox="1"/>
                        <wps:spPr>
                          <a:xfrm rot="31200">
                            <a:off x="3884760" y="456840"/>
                            <a:ext cx="1405800" cy="274320"/>
                          </a:xfrm>
                          <a:prstGeom prst="rect">
                            <a:avLst/>
                          </a:prstGeom>
                          <a:noFill/>
                          <a:ln w="0">
                            <a:noFill/>
                          </a:ln>
                        </wps:spPr>
                        <wps:txb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3</w:t>
                              </w:r>
                            </w:p>
                          </w:txbxContent>
                        </wps:txbx>
                        <wps:bodyPr wrap="square" anchor="t">
                          <a:noAutofit/>
                        </wps:bodyPr>
                      </wps:wsp>
                      <wps:wsp>
                        <wps:cNvSpPr/>
                        <wps:spPr>
                          <a:xfrm>
                            <a:off x="1599480" y="2666880"/>
                            <a:ext cx="4564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flipH="1">
                            <a:off x="3351600" y="1295280"/>
                            <a:ext cx="1218600" cy="685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837720" y="1219320"/>
                            <a:ext cx="0" cy="6091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742480" y="1219320"/>
                            <a:ext cx="0" cy="6091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wgp>
                  </a:graphicData>
                </a:graphic>
              </wp:anchor>
            </w:drawing>
          </mc:Choice>
          <mc:Fallback>
            <w:pict>
              <v:group id="shape_0" style="position:absolute;margin-left:0pt;margin-top:26.2pt;width:431.9pt;height:506.35pt" coordorigin="0,524" coordsize="8638,10127">
                <v:rect id="shape_0" fillcolor="white" stroked="t" o:allowincell="f" style="position:absolute;left:0;top:644;width:8637;height:2081;mso-wrap-style:none;v-text-anchor:middle">
                  <v:fill o:detectmouseclick="t" type="solid" color2="black"/>
                  <v:stroke color="black" weight="936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j0261828" stroked="t" o:allowincell="f" style="position:absolute;left:3411;top:3502;width:1741;height:2376;mso-wrap-style:none;v-text-anchor:middle" type="_x0000_t75">
                  <v:imagedata r:id="rId11" o:detectmouseclick="t"/>
                  <v:stroke color="white" weight="9360" joinstyle="miter" endcap="flat"/>
                  <w10:wrap type="none"/>
                </v:shape>
                <v:shape id="shape_0" ID="j0282454" stroked="f" o:allowincell="f" style="position:absolute;left:6238;top:1759;width:1978;height:733;mso-wrap-style:none;v-text-anchor:middle" type="_x0000_t75">
                  <v:imagedata r:id="rId12" o:detectmouseclick="t"/>
                  <v:stroke color="#3465a4" joinstyle="round" endcap="flat"/>
                  <w10:wrap type="none"/>
                </v:shape>
                <v:shape id="shape_0" ID="j0282454" stroked="f" o:allowincell="f" style="position:absolute;left:3299;top:1759;width:1978;height:733;mso-wrap-style:none;v-text-anchor:middle" type="_x0000_t75">
                  <v:imagedata r:id="rId13" o:detectmouseclick="t"/>
                  <v:stroke color="#3465a4" joinstyle="round" endcap="flat"/>
                  <w10:wrap type="none"/>
                </v:shape>
                <v:shape id="shape_0" ID="j0282454" stroked="f" o:allowincell="f" style="position:absolute;left:479;top:1759;width:1978;height:733;mso-wrap-style:none;v-text-anchor:middle" type="_x0000_t75">
                  <v:imagedata r:id="rId14" o:detectmouseclick="t"/>
                  <v:stroke color="#3465a4" joinstyle="round" endcap="flat"/>
                  <w10:wrap type="none"/>
                </v:shape>
                <v:shape id="shape_0" ID="j0282450" stroked="f" o:allowincell="f" style="position:absolute;left:359;top:7644;width:1978;height:1736;mso-wrap-style:none;v-text-anchor:middle" type="_x0000_t75">
                  <v:imagedata r:id="rId15" o:detectmouseclick="t"/>
                  <v:stroke color="#3465a4" joinstyle="round" endcap="flat"/>
                  <w10:wrap type="none"/>
                </v:shape>
                <v:shape id="shape_0" ID="j0282450" stroked="f" o:allowincell="f" style="position:absolute;left:6238;top:3827;width:1976;height:1736;mso-wrap-style:none;v-text-anchor:middle" type="_x0000_t75">
                  <v:imagedata r:id="rId16" o:detectmouseclick="t"/>
                  <v:stroke color="#3465a4" joinstyle="round" endcap="flat"/>
                  <w10:wrap type="none"/>
                </v:shape>
                <v:shape id="shape_0" ID="j0282512" stroked="f" o:allowincell="f" style="position:absolute;left:6718;top:7636;width:1156;height:1766;mso-wrap-style:none;v-text-anchor:middle" type="_x0000_t75">
                  <v:imagedata r:id="rId17" o:detectmouseclick="t"/>
                  <v:stroke color="#3465a4" joinstyle="round" endcap="flat"/>
                  <w10:wrap type="none"/>
                </v:shape>
                <v:shape id="shape_0" ID="j0261828" stroked="f" o:allowincell="f" style="position:absolute;left:3411;top:7244;width:1741;height:2373;mso-wrap-style:none;v-text-anchor:middle" type="_x0000_t75">
                  <v:imagedata r:id="rId18" o:detectmouseclick="t"/>
                  <v:stroke color="#3465a4" joinstyle="round" endcap="flat"/>
                  <w10:wrap type="none"/>
                </v:shape>
                <v:line id="shape_0" from="5211,4724" to="5929,4724"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5331,5684" to="6837,7482"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3124;top:524;width:2393;height:718;mso-wrap-style:square;v-text-anchor:top" type="_x0000_t202">
                  <v:textbox>
                    <w:txbxContent>
                      <w:p>
                        <w:pPr>
                          <w:overflowPunct w:val="false"/>
                          <w:autoSpaceDE w:val="false"/>
                          <w:bidi w:val="0"/>
                          <w:rPr/>
                        </w:pPr>
                        <w:r>
                          <w:rPr>
                            <w:kern w:val="2"/>
                            <w:sz w:val="48"/>
                            <w:szCs w:val="48"/>
                            <w:rFonts w:ascii="Times New Roman" w:hAnsi="Times New Roman" w:eastAsia="Times New Roman" w:cs="Times New Roman"/>
                            <w:color w:val="000000"/>
                            <w:lang w:val="en-US" w:bidi="ar-SA"/>
                          </w:rPr>
                          <w:t>Specialists</w:t>
                        </w:r>
                      </w:p>
                    </w:txbxContent>
                  </v:textbox>
                  <v:fill o:detectmouseclick="t" on="false"/>
                  <v:stroke color="#3465a4" joinstyle="round" endcap="flat"/>
                  <w10:wrap type="none"/>
                </v:shape>
                <v:shape id="shape_0" ID="j0261828" stroked="f" o:allowincell="f" style="position:absolute;left:537;top:3524;width:1741;height:2376;mso-wrap-style:none;v-text-anchor:middle" type="_x0000_t75">
                  <v:imagedata r:id="rId19" o:detectmouseclick="t"/>
                  <v:stroke color="#3465a4" joinstyle="round" endcap="flat"/>
                  <w10:wrap type="none"/>
                </v:shape>
                <v:line id="shape_0" from="1319,6524" to="1319,7602"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172;top:8928;width:2311;height:718;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line id="shape_0" from="4319,6524" to="4319,7122" stroked="t" o:allowincell="f" style="position:absolute">
                  <v:stroke color="black" weight="9360" endarrow="block" endarrowwidth="medium" endarrowlength="medium" joinstyle="miter" endcap="flat"/>
                  <v:fill o:detectmouseclick="t" on="false"/>
                  <w10:wrap type="none"/>
                </v:line>
                <v:shape id="shape_0" stroked="f" o:allowincell="f" style="position:absolute;left:281;top:5803;width:2236;height:718;mso-wrap-style:square;v-text-anchor:top;rotation:360"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Principal Platform Database</w:t>
                        </w:r>
                      </w:p>
                    </w:txbxContent>
                  </v:textbox>
                  <v:fill o:detectmouseclick="t" on="false"/>
                  <v:stroke color="#3465a4" joinstyle="round" endcap="flat"/>
                  <w10:wrap type="none"/>
                </v:shape>
                <v:shape id="shape_0" stroked="f" o:allowincell="f" style="position:absolute;left:3436;top:9643;width:1841;height:1006;mso-wrap-style:square;v-text-anchor:top;rotation:359"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Clearing Systems</w:t>
                        </w:r>
                      </w:p>
                    </w:txbxContent>
                  </v:textbox>
                  <v:fill o:detectmouseclick="t" on="false"/>
                  <v:stroke color="#3465a4" joinstyle="round" endcap="flat"/>
                  <w10:wrap type="none"/>
                </v:shape>
                <v:shape id="shape_0" stroked="f" o:allowincell="f" style="position:absolute;left:6125;top:9643;width:2511;height:718;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Floor Wireless Handheld</w:t>
                        </w:r>
                      </w:p>
                    </w:txbxContent>
                  </v:textbox>
                  <v:fill o:detectmouseclick="t" on="false"/>
                  <v:stroke color="#3465a4" joinstyle="round" endcap="flat"/>
                  <w10:wrap type="none"/>
                </v:shape>
                <v:shape id="shape_0" stroked="f" o:allowincell="f" style="position:absolute;left:3237;top:5802;width:1836;height:718;mso-wrap-style:square;v-text-anchor:top;rotation:358"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Exchange Database</w:t>
                        </w:r>
                      </w:p>
                    </w:txbxContent>
                  </v:textbox>
                  <v:fill o:detectmouseclick="t" on="false"/>
                  <v:stroke color="#3465a4" joinstyle="round" endcap="flat"/>
                  <w10:wrap type="none"/>
                </v:shape>
                <v:shape id="shape_0" stroked="f" o:allowincell="f" style="position:absolute;left:183;top:9643;width:2213;height:718;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Principal Platform Web Interface</w:t>
                        </w:r>
                      </w:p>
                    </w:txbxContent>
                  </v:textbox>
                  <v:fill o:detectmouseclick="t" on="false"/>
                  <v:stroke color="#3465a4" joinstyle="round" endcap="flat"/>
                  <w10:wrap type="none"/>
                </v:shape>
                <v:shape id="shape_0" stroked="f" o:allowincell="f" style="position:absolute;left:6245;top:5803;width:1791;height:718;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e-Exchange Web Interface</w:t>
                        </w:r>
                      </w:p>
                    </w:txbxContent>
                  </v:textbox>
                  <v:fill o:detectmouseclick="t" on="false"/>
                  <v:stroke color="#3465a4" joinstyle="round" endcap="flat"/>
                  <w10:wrap type="none"/>
                </v:shape>
                <v:shape id="shape_0" stroked="f" o:allowincell="f" style="position:absolute;left:358;top:1244;width:2213;height:431;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1</w:t>
                        </w:r>
                      </w:p>
                    </w:txbxContent>
                  </v:textbox>
                  <v:fill o:detectmouseclick="t" on="false"/>
                  <v:stroke color="#3465a4" joinstyle="round" endcap="flat"/>
                  <w10:wrap type="none"/>
                </v:shape>
                <v:shape id="shape_0" stroked="f" o:allowincell="f" style="position:absolute;left:3210;top:1244;width:2213;height:431;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2</w:t>
                        </w:r>
                      </w:p>
                    </w:txbxContent>
                  </v:textbox>
                  <v:fill o:detectmouseclick="t" on="false"/>
                  <v:stroke color="#3465a4" joinstyle="round" endcap="flat"/>
                  <w10:wrap type="none"/>
                </v:shape>
                <v:shape id="shape_0" stroked="f" o:allowincell="f" style="position:absolute;left:6117;top:1244;width:2213;height:431;mso-wrap-style:square;v-text-anchor:top;rotation:1" type="_x0000_t202">
                  <v:textbox>
                    <w:txbxContent>
                      <w:p>
                        <w:pPr>
                          <w:overflowPunct w:val="false"/>
                          <w:autoSpaceDE w:val="false"/>
                          <w:bidi w:val="0"/>
                          <w:jc w:val="center"/>
                          <w:rPr/>
                        </w:pPr>
                        <w:r>
                          <w:rPr>
                            <w:kern w:val="2"/>
                            <w:sz w:val="24"/>
                            <w:szCs w:val="24"/>
                            <w:rFonts w:ascii="Times New Roman" w:hAnsi="Times New Roman" w:eastAsia="Times New Roman" w:cs="Times New Roman"/>
                            <w:color w:val="000000"/>
                            <w:lang w:val="en-US" w:bidi="ar-SA"/>
                          </w:rPr>
                          <w:t>No. 3</w:t>
                        </w:r>
                      </w:p>
                    </w:txbxContent>
                  </v:textbox>
                  <v:fill o:detectmouseclick="t" on="false"/>
                  <v:stroke color="#3465a4" joinstyle="round" endcap="flat"/>
                  <w10:wrap type="none"/>
                </v:shape>
                <v:line id="shape_0" from="2519,4724" to="3237,4724"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5278,2564" to="7196,3642" stroked="t" o:allowincell="f" style="position:absolute;flip:x">
                  <v:stroke color="black" weight="9360" startarrow="block" endarrow="block" startarrowwidth="medium" startarrowlength="medium" endarrowwidth="medium" endarrowlength="medium" joinstyle="miter" endcap="flat"/>
                  <v:fill o:detectmouseclick="t" on="false"/>
                  <w10:wrap type="none"/>
                </v:line>
                <v:line id="shape_0" from="1319,2444" to="1319,3402"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4319,2444" to="4319,3402"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w:pict>
          </mc:Fallback>
        </mc:AlternateContent>
      </w:r>
      <w:r>
        <mc:AlternateContent>
          <mc:Choice Requires="wps">
            <w:drawing>
              <wp:anchor behindDoc="0" distT="0" distB="0" distL="114935" distR="114935" simplePos="0" locked="0" layoutInCell="1" allowOverlap="1" relativeHeight="2">
                <wp:simplePos x="0" y="0"/>
                <wp:positionH relativeFrom="column">
                  <wp:posOffset>109220</wp:posOffset>
                </wp:positionH>
                <wp:positionV relativeFrom="paragraph">
                  <wp:posOffset>5441315</wp:posOffset>
                </wp:positionV>
                <wp:extent cx="1468755" cy="443230"/>
                <wp:effectExtent l="0" t="0" r="0" b="0"/>
                <wp:wrapNone/>
                <wp:docPr id="12" name="Frame1"/>
                <a:graphic xmlns:a="http://schemas.openxmlformats.org/drawingml/2006/main">
                  <a:graphicData uri="http://schemas.microsoft.com/office/word/2010/wordprocessingShape">
                    <wps:wsp>
                      <wps:cNvSpPr txBox="1"/>
                      <wps:spPr>
                        <a:xfrm>
                          <a:off x="0" y="0"/>
                          <a:ext cx="1468755" cy="443230"/>
                        </a:xfrm>
                        <a:prstGeom prst="rect"/>
                        <a:solidFill>
                          <a:srgbClr val="FFFFFF">
                            <a:alpha val="0"/>
                          </a:srgbClr>
                        </a:solidFill>
                      </wps:spPr>
                      <wps:txbx>
                        <w:txbxContent>
                          <w:p>
                            <w:pPr>
                              <w:pStyle w:val="Normal"/>
                              <w:autoSpaceDE w:val="false"/>
                              <w:rPr>
                                <w:color w:val="000000"/>
                                <w:sz w:val="48"/>
                                <w:szCs w:val="48"/>
                              </w:rPr>
                            </w:pPr>
                            <w:r>
                              <w:rPr>
                                <w:color w:val="000000"/>
                                <w:sz w:val="48"/>
                                <w:szCs w:val="48"/>
                              </w:rPr>
                            </w:r>
                          </w:p>
                        </w:txbxContent>
                      </wps:txbx>
                      <wps:bodyPr anchor="t" lIns="92075" tIns="46355" rIns="92075" bIns="46355">
                        <a:spAutoFit/>
                      </wps:bodyPr>
                    </wps:wsp>
                  </a:graphicData>
                </a:graphic>
              </wp:anchor>
            </w:drawing>
          </mc:Choice>
          <mc:Fallback>
            <w:pict>
              <v:rect fillcolor="#FFFFFF" style="position:absolute;rotation:-0;width:115.65pt;height:34.9pt;mso-wrap-distance-left:9.05pt;mso-wrap-distance-right:9.05pt;mso-wrap-distance-top:0pt;mso-wrap-distance-bottom:0pt;margin-top:428.45pt;mso-position-vertical-relative:text;margin-left:8.6pt;mso-position-horizontal-relative:text">
                <v:fill opacity="0f"/>
                <v:textbox inset="0.100694444444444in,0.0506944444444444in,0.100694444444444in,0.0506944444444444in">
                  <w:txbxContent>
                    <w:p>
                      <w:pPr>
                        <w:pStyle w:val="Normal"/>
                        <w:autoSpaceDE w:val="false"/>
                        <w:rPr>
                          <w:color w:val="000000"/>
                          <w:sz w:val="48"/>
                          <w:szCs w:val="48"/>
                        </w:rPr>
                      </w:pPr>
                      <w:r>
                        <w:rPr>
                          <w:color w:val="000000"/>
                          <w:sz w:val="48"/>
                          <w:szCs w:val="48"/>
                        </w:rPr>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3">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6">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7">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8">
    <w:lvl w:ilvl="0">
      <w:start w:val="1"/>
      <w:numFmt w:val="bullet"/>
      <w:lvlText w:val=""/>
      <w:lvlJc w:val="start"/>
      <w:pPr>
        <w:tabs>
          <w:tab w:val="num" w:pos="1080"/>
        </w:tabs>
        <w:ind w:start="1080" w:hanging="360"/>
      </w:pPr>
      <w:rPr>
        <w:rFonts w:ascii="Wingdings" w:hAnsi="Wingdings" w:cs="Wingdings" w:hint="default"/>
      </w:rPr>
    </w:lvl>
    <w:lvl w:ilvl="1">
      <w:start w:val="1"/>
      <w:numFmt w:val="bullet"/>
      <w:lvlText w:val="­"/>
      <w:lvlJc w:val="start"/>
      <w:pPr>
        <w:tabs>
          <w:tab w:val="num" w:pos="1800"/>
        </w:tabs>
        <w:ind w:start="1800" w:hanging="360"/>
      </w:pPr>
      <w:rPr>
        <w:rFonts w:ascii="Liberation Serif" w:hAnsi="Liberation Serif" w:cs="Liberation Serif"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sz w:val="32"/>
      <w:szCs w:val="20"/>
    </w:rPr>
  </w:style>
  <w:style w:type="paragraph" w:styleId="Heading4">
    <w:name w:val="heading 4"/>
    <w:basedOn w:val="Normal"/>
    <w:next w:val="Normal"/>
    <w:qFormat/>
    <w:pPr>
      <w:keepNext w:val="true"/>
      <w:numPr>
        <w:ilvl w:val="3"/>
        <w:numId w:val="1"/>
      </w:numPr>
      <w:autoSpaceDE w:val="false"/>
      <w:outlineLvl w:val="3"/>
    </w:pPr>
    <w:rPr>
      <w:color w:val="000000"/>
      <w:sz w:val="28"/>
      <w:szCs w:val="28"/>
    </w:rPr>
  </w:style>
  <w:style w:type="paragraph" w:styleId="Heading6">
    <w:name w:val="heading 6"/>
    <w:basedOn w:val="Normal"/>
    <w:next w:val="Normal"/>
    <w:qFormat/>
    <w:pPr>
      <w:keepNext w:val="true"/>
      <w:numPr>
        <w:ilvl w:val="5"/>
        <w:numId w:val="1"/>
      </w:numPr>
      <w:autoSpaceDE w:val="false"/>
      <w:jc w:val="center"/>
      <w:outlineLvl w:val="5"/>
    </w:pPr>
    <w:rPr>
      <w:color w:val="000000"/>
      <w:sz w:val="28"/>
      <w:szCs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5z1">
    <w:name w:val="WW8Num5z1"/>
    <w:qFormat/>
    <w:rPr>
      <w:rFonts w:ascii="Times New Roman" w:hAnsi="Times New Roman" w:eastAsia="Times New Roman" w:cs="Times New Roman"/>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cs="Courier New"/>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rFonts w:ascii="Arial" w:hAnsi="Arial" w:cs="Arial"/>
      <w:sz w:val="2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1.wmf"/><Relationship Id="rId10" Type="http://schemas.openxmlformats.org/officeDocument/2006/relationships/image" Target="media/image1.wmf"/><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image" Target="media/image2.wmf"/><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1.wmf"/><Relationship Id="rId19" Type="http://schemas.openxmlformats.org/officeDocument/2006/relationships/image" Target="media/image1.wmf"/><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2001-10-25T16:47:00Z</dcterms:created>
  <dc:creator>meichma</dc:creator>
  <dc:description/>
  <dc:language>en-CA</dc:language>
  <cp:lastModifiedBy>Robert Shults</cp:lastModifiedBy>
  <cp:lastPrinted>2001-10-24T13:32:00Z</cp:lastPrinted>
  <dcterms:modified xsi:type="dcterms:W3CDTF">2001-10-25T20:03:00Z</dcterms:modified>
  <cp:revision>9</cp:revision>
  <dc:subject/>
  <dc:title>Term Sheet</dc:title>
</cp:coreProperties>
</file>