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i/>
          <w:i/>
        </w:rPr>
      </w:pPr>
      <w:r>
        <w:rPr>
          <w:b/>
          <w:i/>
        </w:rPr>
        <w:t xml:space="preserve"> </w:t>
      </w:r>
      <w:r>
        <w:rPr>
          <w:b/>
          <w:i/>
        </w:rPr>
        <w:t>PROPOSED TERMS FOR</w:t>
      </w:r>
    </w:p>
    <w:p>
      <w:pPr>
        <w:pStyle w:val="Normal"/>
        <w:widowControl/>
        <w:jc w:val="center"/>
        <w:rPr>
          <w:b/>
          <w:i/>
          <w:i/>
        </w:rPr>
      </w:pPr>
      <w:r>
        <w:rPr>
          <w:b/>
          <w:i/>
        </w:rPr>
        <w:t>Firm Energy Sale</w:t>
      </w:r>
    </w:p>
    <w:p>
      <w:pPr>
        <w:pStyle w:val="Heading4"/>
        <w:ind w:hanging="0" w:start="0"/>
        <w:rPr/>
      </w:pPr>
      <w:r>
        <w:rPr/>
        <w:t>To</w:t>
      </w:r>
    </w:p>
    <w:p>
      <w:pPr>
        <w:pStyle w:val="Normal"/>
        <w:widowControl/>
        <w:jc w:val="center"/>
        <w:rPr>
          <w:b/>
          <w:i/>
          <w:i/>
        </w:rPr>
      </w:pPr>
      <w:r>
        <w:rPr>
          <w:b/>
          <w:i/>
        </w:rPr>
        <w:t xml:space="preserve">Air Products and Chemicals Corporation  </w:t>
      </w:r>
    </w:p>
    <w:p>
      <w:pPr>
        <w:pStyle w:val="Normal"/>
        <w:widowControl/>
        <w:jc w:val="center"/>
        <w:rPr>
          <w:b/>
          <w:i/>
          <w:i/>
        </w:rPr>
      </w:pPr>
      <w:r>
        <w:rPr>
          <w:b/>
          <w:i/>
        </w:rPr>
        <w:t>By</w:t>
      </w:r>
    </w:p>
    <w:p>
      <w:pPr>
        <w:pStyle w:val="Normal"/>
        <w:widowControl/>
        <w:jc w:val="center"/>
        <w:rPr>
          <w:b/>
          <w:i/>
          <w:i/>
        </w:rPr>
      </w:pPr>
      <w:r>
        <w:rPr>
          <w:b/>
          <w:i/>
        </w:rPr>
        <w:t>Enron Power Marketing, Inc.</w:t>
      </w:r>
    </w:p>
    <w:p>
      <w:pPr>
        <w:pStyle w:val="Normal"/>
        <w:widowControl/>
        <w:rPr>
          <w:b/>
          <w:i/>
          <w:i/>
          <w:u w:val="single"/>
        </w:rPr>
      </w:pPr>
      <w:r>
        <w:rPr>
          <w:b/>
          <w:i/>
          <w:u w:val="single"/>
        </w:rPr>
      </w:r>
    </w:p>
    <w:p>
      <w:pPr>
        <w:pStyle w:val="Heading4"/>
        <w:ind w:hanging="0" w:start="0"/>
        <w:rPr/>
      </w:pPr>
      <w:r>
        <w:rPr/>
        <w:t>August 17, 2001</w:t>
      </w:r>
    </w:p>
    <w:p>
      <w:pPr>
        <w:pStyle w:val="Normal"/>
        <w:widowControl/>
        <w:rPr>
          <w:b/>
          <w:i/>
          <w:i/>
          <w:u w:val="single"/>
        </w:rPr>
      </w:pPr>
      <w:r>
        <w:rPr>
          <w:b/>
          <w:i/>
          <w:u w:val="single"/>
        </w:rPr>
      </w:r>
    </w:p>
    <w:p>
      <w:pPr>
        <w:pStyle w:val="Normal"/>
        <w:widowControl/>
        <w:rPr>
          <w:b/>
          <w:i/>
          <w:i/>
          <w:u w:val="single"/>
        </w:rPr>
      </w:pPr>
      <w:r>
        <w:rPr>
          <w:b/>
          <w:i/>
          <w:u w:val="single"/>
        </w:rPr>
        <w:t>PURPOSE</w:t>
      </w:r>
    </w:p>
    <w:p>
      <w:pPr>
        <w:pStyle w:val="Normal"/>
        <w:widowControl/>
        <w:rPr>
          <w:b/>
          <w:i/>
          <w:i/>
          <w:u w:val="single"/>
        </w:rPr>
      </w:pPr>
      <w:r>
        <w:rPr>
          <w:b/>
          <w:i/>
          <w:u w:val="single"/>
        </w:rPr>
      </w:r>
    </w:p>
    <w:p>
      <w:pPr>
        <w:pStyle w:val="Normal"/>
        <w:widowControl/>
        <w:jc w:val="both"/>
        <w:rPr/>
      </w:pPr>
      <w:r>
        <w:rPr/>
        <w:t xml:space="preserve">This proposal outlines the general terms and conditions under which Enron (Enron Power Marketing Inc. (EPMI)) would enter into an energy sales agreement for firm energy with Air Products and Chemical Corporation (Air Products). All transactions would be governed by the mutual acceptance of the Edison Electric Institute (EEI) Master Sales &amp; Purchase Agreement and the agreed upon Confirmation Letter. </w:t>
      </w:r>
    </w:p>
    <w:p>
      <w:pPr>
        <w:pStyle w:val="Normal"/>
        <w:widowControl/>
        <w:jc w:val="both"/>
        <w:rPr/>
      </w:pPr>
      <w:r>
        <w:rPr/>
      </w:r>
    </w:p>
    <w:p>
      <w:pPr>
        <w:pStyle w:val="Normal"/>
        <w:widowControl/>
        <w:rPr/>
      </w:pPr>
      <w:r>
        <w:rPr/>
      </w:r>
    </w:p>
    <w:p>
      <w:pPr>
        <w:pStyle w:val="Normal"/>
        <w:widowControl/>
        <w:rPr>
          <w:b/>
          <w:i/>
          <w:i/>
          <w:u w:val="single"/>
        </w:rPr>
      </w:pPr>
      <w:r>
        <w:rPr>
          <w:b/>
          <w:i/>
          <w:u w:val="single"/>
        </w:rPr>
        <w:t>ELECTRICITY SUPPLIES TO AIR PRODUCTS</w:t>
      </w:r>
    </w:p>
    <w:p>
      <w:pPr>
        <w:pStyle w:val="Normal"/>
        <w:widowControl/>
        <w:rPr>
          <w:b/>
          <w:i/>
          <w:i/>
          <w:u w:val="single"/>
        </w:rPr>
      </w:pPr>
      <w:r>
        <w:rPr>
          <w:b/>
          <w:i/>
          <w:u w:val="single"/>
        </w:rPr>
      </w:r>
    </w:p>
    <w:p>
      <w:pPr>
        <w:pStyle w:val="Heading5"/>
        <w:ind w:hanging="0" w:start="0"/>
        <w:rPr/>
      </w:pPr>
      <w:r>
        <w:rPr/>
        <w:t>WASHINGTON STATE OPERATIONS ONLY</w:t>
      </w:r>
    </w:p>
    <w:p>
      <w:pPr>
        <w:pStyle w:val="Header"/>
        <w:widowControl/>
        <w:tabs>
          <w:tab w:val="clear" w:pos="4320"/>
          <w:tab w:val="clear" w:pos="8640"/>
        </w:tabs>
        <w:rPr/>
      </w:pPr>
      <w:r>
        <w:rPr/>
      </w:r>
    </w:p>
    <w:p>
      <w:pPr>
        <w:pStyle w:val="Normal"/>
        <w:widowControl/>
        <w:jc w:val="both"/>
        <w:rPr/>
      </w:pPr>
      <w:r>
        <w:rPr/>
        <w:t>Contract Quantity:</w:t>
        <w:tab/>
        <w:t xml:space="preserve">Six (6) MW  </w:t>
      </w:r>
    </w:p>
    <w:p>
      <w:pPr>
        <w:pStyle w:val="Normal"/>
        <w:widowControl/>
        <w:ind w:start="2160" w:end="0"/>
        <w:jc w:val="both"/>
        <w:rPr/>
      </w:pPr>
      <w:r>
        <w:rPr/>
      </w:r>
    </w:p>
    <w:p>
      <w:pPr>
        <w:pStyle w:val="Normal"/>
        <w:widowControl/>
        <w:ind w:hanging="2160" w:start="2160" w:end="0"/>
        <w:jc w:val="both"/>
        <w:rPr/>
      </w:pPr>
      <w:r>
        <w:rPr/>
        <w:t>Load Factor:</w:t>
        <w:tab/>
        <w:t>100 % (“flat”) for all hours</w:t>
      </w:r>
    </w:p>
    <w:p>
      <w:pPr>
        <w:pStyle w:val="Normal"/>
        <w:widowControl/>
        <w:ind w:hanging="2160" w:start="2160" w:end="0"/>
        <w:jc w:val="both"/>
        <w:rPr/>
      </w:pPr>
      <w:r>
        <w:rPr/>
      </w:r>
    </w:p>
    <w:p>
      <w:pPr>
        <w:pStyle w:val="Normal"/>
        <w:widowControl/>
        <w:ind w:hanging="2160" w:start="2160" w:end="0"/>
        <w:jc w:val="both"/>
        <w:rPr/>
      </w:pPr>
      <w:r>
        <w:rPr/>
        <w:t>Term:</w:t>
        <w:tab/>
        <w:t>Commencing August 23, 2001 for multiple terms, Thursday through Monday.</w:t>
      </w:r>
    </w:p>
    <w:p>
      <w:pPr>
        <w:pStyle w:val="Normal"/>
        <w:widowControl/>
        <w:ind w:hanging="2160" w:start="2160" w:end="0"/>
        <w:jc w:val="both"/>
        <w:rPr/>
      </w:pPr>
      <w:r>
        <w:rPr/>
      </w:r>
    </w:p>
    <w:p>
      <w:pPr>
        <w:pStyle w:val="BodyTextIndent2"/>
        <w:widowControl/>
        <w:jc w:val="both"/>
        <w:rPr>
          <w:sz w:val="24"/>
        </w:rPr>
      </w:pPr>
      <w:r>
        <w:rPr>
          <w:sz w:val="24"/>
        </w:rPr>
        <w:t>Pricing:</w:t>
        <w:tab/>
        <w:t xml:space="preserve">The prices and accompanying term of agreement would need to be accepted via written correspondence.  </w:t>
      </w:r>
    </w:p>
    <w:p>
      <w:pPr>
        <w:pStyle w:val="NormalIndent"/>
        <w:widowControl/>
        <w:ind w:start="0" w:end="0"/>
        <w:rPr>
          <w:b/>
          <w:sz w:val="24"/>
        </w:rPr>
      </w:pPr>
      <w:r>
        <w:rPr>
          <w:b/>
          <w:sz w:val="24"/>
        </w:rPr>
      </w:r>
    </w:p>
    <w:p>
      <w:pPr>
        <w:pStyle w:val="NormalIndent"/>
        <w:widowControl/>
        <w:ind w:hanging="2160" w:start="2160" w:end="0"/>
        <w:rPr/>
      </w:pPr>
      <w:r>
        <w:rPr/>
        <w:t>Transmission:</w:t>
        <w:tab/>
        <w:t>As specified within the agreed upon Confirmation Letter.</w:t>
      </w:r>
    </w:p>
    <w:p>
      <w:pPr>
        <w:pStyle w:val="NormalIndent"/>
        <w:widowControl/>
        <w:ind w:hanging="2160" w:start="2160" w:end="0"/>
        <w:rPr>
          <w:b/>
        </w:rPr>
      </w:pPr>
      <w:r>
        <w:rPr>
          <w:b/>
        </w:rPr>
      </w:r>
    </w:p>
    <w:p>
      <w:pPr>
        <w:pStyle w:val="Normal"/>
        <w:widowControl/>
        <w:ind w:hanging="2160" w:start="2160" w:end="0"/>
        <w:jc w:val="both"/>
        <w:rPr/>
      </w:pPr>
      <w:r>
        <w:rPr/>
        <w:t>Taxes and or “Surcharges”:</w:t>
        <w:tab/>
        <w:t xml:space="preserve">As specified within the agreed upon Confirmation Letter.  </w:t>
      </w:r>
    </w:p>
    <w:p>
      <w:pPr>
        <w:pStyle w:val="Normal"/>
        <w:widowControl/>
        <w:ind w:hanging="2160" w:start="2160" w:end="0"/>
        <w:jc w:val="both"/>
        <w:rPr/>
      </w:pPr>
      <w:r>
        <w:rPr/>
      </w:r>
    </w:p>
    <w:p>
      <w:pPr>
        <w:pStyle w:val="NormalIndent"/>
        <w:widowControl/>
        <w:ind w:hanging="2160" w:start="2160" w:end="0"/>
        <w:jc w:val="both"/>
        <w:rPr/>
      </w:pPr>
      <w:r>
        <w:rPr/>
        <w:t>Re-marketing:</w:t>
        <w:tab/>
        <w:t xml:space="preserve">As specified within the agreed upon Confirmation Letter. </w:t>
      </w:r>
    </w:p>
    <w:p>
      <w:pPr>
        <w:pStyle w:val="NormalIndent"/>
        <w:widowControl/>
        <w:ind w:hanging="2160" w:start="2160" w:end="0"/>
        <w:jc w:val="both"/>
        <w:rPr/>
      </w:pPr>
      <w:r>
        <w:rPr/>
      </w:r>
    </w:p>
    <w:p>
      <w:pPr>
        <w:pStyle w:val="Normal"/>
        <w:widowControl/>
        <w:ind w:hanging="2160" w:start="2160" w:end="0"/>
        <w:jc w:val="both"/>
        <w:rPr/>
      </w:pPr>
      <w:r>
        <w:rPr/>
        <w:t>Point of Delivery:</w:t>
        <w:tab/>
        <w:t xml:space="preserve">At EPMI’s discretion, any non-congested point of inter-connect to the Puget Sound Energy (PSE) system </w:t>
      </w:r>
      <w:r>
        <w:rPr>
          <w:b/>
          <w:bCs/>
          <w:u w:val="single"/>
        </w:rPr>
        <w:t>and or</w:t>
      </w:r>
      <w:r>
        <w:rPr/>
        <w:t xml:space="preserve"> the Mid-Columbia as specified within the agreed upon Confirmation Letter. </w:t>
      </w:r>
    </w:p>
    <w:p>
      <w:pPr>
        <w:pStyle w:val="Normal"/>
        <w:widowControl/>
        <w:ind w:hanging="2160" w:start="2160" w:end="0"/>
        <w:jc w:val="both"/>
        <w:rPr/>
      </w:pPr>
      <w:r>
        <w:rPr/>
      </w:r>
    </w:p>
    <w:p>
      <w:pPr>
        <w:pStyle w:val="Normal"/>
        <w:widowControl/>
        <w:ind w:hanging="2160" w:start="2160" w:end="0"/>
        <w:jc w:val="both"/>
        <w:rPr/>
      </w:pPr>
      <w:r>
        <w:rPr/>
        <w:t>Scheduling:</w:t>
        <w:tab/>
        <w:t>Air Products and Enron would agree on scheduling provisions consistent with WSCC industry standard practice as specified within the agreed upon Confirmation Letter.</w:t>
      </w:r>
    </w:p>
    <w:p>
      <w:pPr>
        <w:pStyle w:val="Normal"/>
        <w:widowControl/>
        <w:ind w:hanging="2160" w:start="2160" w:end="0"/>
        <w:jc w:val="both"/>
        <w:rPr/>
      </w:pPr>
      <w:r>
        <w:rPr/>
      </w:r>
    </w:p>
    <w:p>
      <w:pPr>
        <w:pStyle w:val="Normal"/>
        <w:widowControl/>
        <w:ind w:hanging="2160" w:start="2160" w:end="0"/>
        <w:jc w:val="both"/>
        <w:rPr/>
      </w:pPr>
      <w:r>
        <w:rPr/>
        <w:t xml:space="preserve">Energy Imbalance: </w:t>
        <w:tab/>
        <w:t>Air Products would be responsible for any and all financial benefits or costs associated with their Energy Imbalance as described in PSE’s applicable tariff.  Please see the specific language contained within the agreed upon Confirmation Letter.</w:t>
      </w:r>
    </w:p>
    <w:p>
      <w:pPr>
        <w:pStyle w:val="Normal"/>
        <w:widowControl/>
        <w:ind w:hanging="2160" w:start="2160" w:end="0"/>
        <w:jc w:val="both"/>
        <w:rPr/>
      </w:pPr>
      <w:r>
        <w:rPr/>
      </w:r>
    </w:p>
    <w:p>
      <w:pPr>
        <w:pStyle w:val="BodyTextIndent"/>
        <w:ind w:hanging="2160" w:start="2160" w:end="0"/>
        <w:jc w:val="both"/>
        <w:rPr/>
      </w:pPr>
      <w:r>
        <w:rPr/>
        <w:t>Losses:</w:t>
        <w:tab/>
        <w:t xml:space="preserve">Please see the specific language contained within the agreed upon Confirmation Letter. </w:t>
      </w:r>
    </w:p>
    <w:p>
      <w:pPr>
        <w:pStyle w:val="BodyTextIndent"/>
        <w:ind w:hanging="2160" w:start="2160" w:end="0"/>
        <w:jc w:val="both"/>
        <w:rPr/>
      </w:pPr>
      <w:r>
        <w:rPr/>
      </w:r>
    </w:p>
    <w:p>
      <w:pPr>
        <w:pStyle w:val="NormalIndent"/>
        <w:widowControl/>
        <w:ind w:hanging="2160" w:start="2160" w:end="0"/>
        <w:rPr>
          <w:b/>
        </w:rPr>
      </w:pPr>
      <w:r>
        <w:rPr>
          <w:b/>
        </w:rPr>
        <w:t>Pricing Options</w:t>
      </w:r>
    </w:p>
    <w:p>
      <w:pPr>
        <w:pStyle w:val="NormalIndent"/>
        <w:widowControl/>
        <w:ind w:start="0" w:end="0"/>
        <w:rPr>
          <w:b/>
        </w:rPr>
      </w:pPr>
      <w:r>
        <w:rPr>
          <w:b/>
        </w:rPr>
      </w:r>
    </w:p>
    <w:p>
      <w:pPr>
        <w:pStyle w:val="NormalIndent"/>
        <w:widowControl/>
        <w:ind w:start="0" w:end="0"/>
        <w:jc w:val="both"/>
        <w:rPr/>
      </w:pPr>
      <w:r>
        <w:rPr/>
        <w:t>Contractually and financially firm energy with liquidated damages including Spinning and or Supplemental Reserves as required by Puget Sound Energy (PSE).  Such inclusion will negate the need for Air Products to purchase such services from PSE.</w:t>
      </w:r>
    </w:p>
    <w:p>
      <w:pPr>
        <w:pStyle w:val="NormalIndent"/>
        <w:widowControl/>
        <w:ind w:start="0" w:end="0"/>
        <w:jc w:val="both"/>
        <w:rPr/>
      </w:pPr>
      <w:r>
        <w:rPr/>
      </w:r>
    </w:p>
    <w:p>
      <w:pPr>
        <w:pStyle w:val="Heading7"/>
        <w:jc w:val="start"/>
        <w:rPr/>
      </w:pPr>
      <w:r>
        <w:rPr>
          <w:i/>
          <w:iCs/>
        </w:rPr>
        <w:t xml:space="preserve">Indicative </w:t>
      </w:r>
      <w:r>
        <w:rPr/>
        <w:t>Fixed Prices:</w:t>
        <w:tab/>
      </w:r>
    </w:p>
    <w:p>
      <w:pPr>
        <w:pStyle w:val="Normal"/>
        <w:rPr/>
      </w:pPr>
      <w:r>
        <w:rPr/>
      </w:r>
    </w:p>
    <w:tbl>
      <w:tblPr>
        <w:tblW w:w="8136" w:type="dxa"/>
        <w:jc w:val="start"/>
        <w:tblInd w:w="720" w:type="dxa"/>
        <w:tblLayout w:type="fixed"/>
        <w:tblCellMar>
          <w:top w:w="0" w:type="dxa"/>
          <w:start w:w="108" w:type="dxa"/>
          <w:bottom w:w="0" w:type="dxa"/>
          <w:end w:w="108" w:type="dxa"/>
        </w:tblCellMar>
      </w:tblPr>
      <w:tblGrid>
        <w:gridCol w:w="2709"/>
        <w:gridCol w:w="2715"/>
        <w:gridCol w:w="2712"/>
      </w:tblGrid>
      <w:tr>
        <w:trPr/>
        <w:tc>
          <w:tcPr>
            <w:tcW w:w="2709" w:type="dxa"/>
            <w:tcBorders>
              <w:top w:val="single" w:sz="4" w:space="0" w:color="000000"/>
              <w:start w:val="single" w:sz="4" w:space="0" w:color="000000"/>
              <w:bottom w:val="single" w:sz="4" w:space="0" w:color="000000"/>
              <w:end w:val="single" w:sz="4" w:space="0" w:color="000000"/>
            </w:tcBorders>
          </w:tcPr>
          <w:p>
            <w:pPr>
              <w:pStyle w:val="Heading7"/>
              <w:snapToGrid w:val="false"/>
              <w:ind w:hanging="0" w:start="0" w:end="0"/>
              <w:rPr/>
            </w:pPr>
            <w:r>
              <w:rPr/>
            </w:r>
          </w:p>
        </w:tc>
        <w:tc>
          <w:tcPr>
            <w:tcW w:w="2715"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t>Time Period</w:t>
            </w:r>
          </w:p>
        </w:tc>
        <w:tc>
          <w:tcPr>
            <w:tcW w:w="2712"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t>$/MWh</w:t>
            </w:r>
          </w:p>
        </w:tc>
      </w:tr>
      <w:tr>
        <w:trPr/>
        <w:tc>
          <w:tcPr>
            <w:tcW w:w="2709"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t>One year</w:t>
            </w:r>
          </w:p>
        </w:tc>
        <w:tc>
          <w:tcPr>
            <w:tcW w:w="2715"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bCs/>
              </w:rPr>
            </w:pPr>
            <w:r>
              <w:rPr>
                <w:b w:val="false"/>
                <w:bCs/>
              </w:rPr>
              <w:t>8/23/01-8/31/02</w:t>
            </w:r>
          </w:p>
        </w:tc>
        <w:tc>
          <w:tcPr>
            <w:tcW w:w="2712"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bCs/>
              </w:rPr>
            </w:pPr>
            <w:r>
              <w:rPr>
                <w:b w:val="false"/>
                <w:bCs/>
              </w:rPr>
              <w:t>44.20</w:t>
            </w:r>
          </w:p>
        </w:tc>
      </w:tr>
      <w:tr>
        <w:trPr/>
        <w:tc>
          <w:tcPr>
            <w:tcW w:w="2709"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t>Two years</w:t>
            </w:r>
          </w:p>
        </w:tc>
        <w:tc>
          <w:tcPr>
            <w:tcW w:w="2715"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bCs/>
              </w:rPr>
            </w:pPr>
            <w:r>
              <w:rPr>
                <w:b w:val="false"/>
                <w:bCs/>
              </w:rPr>
              <w:t>8/23/01-8/31/03</w:t>
            </w:r>
          </w:p>
        </w:tc>
        <w:tc>
          <w:tcPr>
            <w:tcW w:w="2712"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bCs/>
              </w:rPr>
            </w:pPr>
            <w:r>
              <w:rPr>
                <w:b w:val="false"/>
                <w:bCs/>
              </w:rPr>
              <w:t>42.47</w:t>
            </w:r>
          </w:p>
        </w:tc>
      </w:tr>
      <w:tr>
        <w:trPr/>
        <w:tc>
          <w:tcPr>
            <w:tcW w:w="2709" w:type="dxa"/>
            <w:tcBorders>
              <w:top w:val="single" w:sz="4" w:space="0" w:color="000000"/>
              <w:start w:val="single" w:sz="4" w:space="0" w:color="000000"/>
              <w:bottom w:val="single" w:sz="4" w:space="0" w:color="000000"/>
              <w:end w:val="single" w:sz="4" w:space="0" w:color="000000"/>
            </w:tcBorders>
          </w:tcPr>
          <w:p>
            <w:pPr>
              <w:pStyle w:val="Heading7"/>
              <w:ind w:hanging="0" w:start="0" w:end="0"/>
              <w:rPr/>
            </w:pPr>
            <w:r>
              <w:rPr/>
              <w:t>Three years</w:t>
            </w:r>
          </w:p>
        </w:tc>
        <w:tc>
          <w:tcPr>
            <w:tcW w:w="2715"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bCs/>
              </w:rPr>
            </w:pPr>
            <w:r>
              <w:rPr>
                <w:b w:val="false"/>
                <w:bCs/>
              </w:rPr>
              <w:t>8/23/01-8/31/04</w:t>
            </w:r>
          </w:p>
        </w:tc>
        <w:tc>
          <w:tcPr>
            <w:tcW w:w="2712" w:type="dxa"/>
            <w:tcBorders>
              <w:top w:val="single" w:sz="4" w:space="0" w:color="000000"/>
              <w:start w:val="single" w:sz="4" w:space="0" w:color="000000"/>
              <w:bottom w:val="single" w:sz="4" w:space="0" w:color="000000"/>
              <w:end w:val="single" w:sz="4" w:space="0" w:color="000000"/>
            </w:tcBorders>
          </w:tcPr>
          <w:p>
            <w:pPr>
              <w:pStyle w:val="Heading7"/>
              <w:ind w:hanging="0" w:start="0" w:end="0"/>
              <w:rPr>
                <w:b w:val="false"/>
                <w:bCs/>
              </w:rPr>
            </w:pPr>
            <w:r>
              <w:rPr>
                <w:b w:val="false"/>
                <w:bCs/>
              </w:rPr>
              <w:t>41.19</w:t>
            </w:r>
          </w:p>
        </w:tc>
      </w:tr>
    </w:tbl>
    <w:p>
      <w:pPr>
        <w:pStyle w:val="Heading7"/>
        <w:jc w:val="start"/>
        <w:rPr/>
      </w:pPr>
      <w:r>
        <w:rPr/>
      </w:r>
    </w:p>
    <w:p>
      <w:pPr>
        <w:pStyle w:val="Heading7"/>
        <w:ind w:firstLine="720" w:end="0"/>
        <w:jc w:val="start"/>
        <w:rPr>
          <w:b w:val="false"/>
          <w:bCs/>
        </w:rPr>
      </w:pPr>
      <w:r>
        <w:rPr>
          <w:b w:val="false"/>
          <w:bCs/>
        </w:rPr>
      </w:r>
    </w:p>
    <w:p>
      <w:pPr>
        <w:pStyle w:val="Normal"/>
        <w:ind w:start="2160" w:end="0"/>
        <w:rPr>
          <w:b/>
          <w:bCs/>
        </w:rPr>
      </w:pPr>
      <w:r>
        <w:rPr>
          <w:b/>
          <w:bCs/>
        </w:rPr>
      </w:r>
    </w:p>
    <w:p>
      <w:pPr>
        <w:pStyle w:val="Normal"/>
        <w:ind w:start="2160" w:end="0"/>
        <w:rPr/>
      </w:pPr>
      <w:r>
        <w:rPr/>
      </w:r>
    </w:p>
    <w:p>
      <w:pPr>
        <w:pStyle w:val="Normal"/>
        <w:ind w:start="2160" w:end="0"/>
        <w:rPr/>
      </w:pPr>
      <w:r>
        <w:rPr/>
      </w:r>
    </w:p>
    <w:p>
      <w:pPr>
        <w:pStyle w:val="Normal"/>
        <w:ind w:start="2160" w:end="0"/>
        <w:rPr/>
      </w:pPr>
      <w:r>
        <w:rPr/>
      </w:r>
    </w:p>
    <w:p>
      <w:pPr>
        <w:pStyle w:val="Heading9"/>
        <w:rPr/>
      </w:pPr>
      <w:r>
        <w:rPr/>
        <w:t>CONTACT PERSON</w:t>
      </w:r>
    </w:p>
    <w:p>
      <w:pPr>
        <w:pStyle w:val="Normal"/>
        <w:widowControl/>
        <w:ind w:hanging="180" w:start="180" w:end="0"/>
        <w:rPr/>
      </w:pPr>
      <w:r>
        <w:rPr/>
      </w:r>
    </w:p>
    <w:p>
      <w:pPr>
        <w:pStyle w:val="Normal"/>
        <w:widowControl/>
        <w:rPr/>
      </w:pPr>
      <w:r>
        <w:rPr/>
        <w:t>All questions or comments regarding this proposal should be addressed to:</w:t>
      </w:r>
    </w:p>
    <w:p>
      <w:pPr>
        <w:pStyle w:val="Normal"/>
        <w:widowControl/>
        <w:rPr/>
      </w:pPr>
      <w:r>
        <w:rPr/>
      </w:r>
    </w:p>
    <w:p>
      <w:pPr>
        <w:pStyle w:val="Normal"/>
        <w:widowControl/>
        <w:rPr/>
      </w:pPr>
      <w:r>
        <w:rPr/>
        <w:t>John D. Malowney</w:t>
      </w:r>
    </w:p>
    <w:p>
      <w:pPr>
        <w:pStyle w:val="Normal"/>
        <w:widowControl/>
        <w:rPr/>
      </w:pPr>
      <w:r>
        <w:rPr/>
        <w:t>Manager</w:t>
      </w:r>
    </w:p>
    <w:p>
      <w:pPr>
        <w:pStyle w:val="Normal"/>
        <w:widowControl/>
        <w:rPr/>
      </w:pPr>
      <w:r>
        <w:rPr/>
        <w:t>Enron North America</w:t>
      </w:r>
    </w:p>
    <w:p>
      <w:pPr>
        <w:pStyle w:val="Normal"/>
        <w:widowControl/>
        <w:rPr/>
      </w:pPr>
      <w:r>
        <w:rPr/>
        <w:t>3 World Trade Center</w:t>
      </w:r>
    </w:p>
    <w:p>
      <w:pPr>
        <w:pStyle w:val="Normal"/>
        <w:widowControl/>
        <w:rPr/>
      </w:pPr>
      <w:r>
        <w:rPr/>
        <w:t>121 SW Salmon, Suite 0305</w:t>
      </w:r>
    </w:p>
    <w:p>
      <w:pPr>
        <w:pStyle w:val="Normal"/>
        <w:widowControl/>
        <w:rPr/>
      </w:pPr>
      <w:r>
        <w:rPr/>
        <w:t>Portland, OR  97204</w:t>
      </w:r>
    </w:p>
    <w:p>
      <w:pPr>
        <w:pStyle w:val="Normal"/>
        <w:widowControl/>
        <w:rPr/>
      </w:pPr>
      <w:r>
        <w:rPr/>
        <w:t>Phone: (503) 464-2270</w:t>
      </w:r>
    </w:p>
    <w:p>
      <w:pPr>
        <w:pStyle w:val="Header"/>
        <w:widowControl/>
        <w:tabs>
          <w:tab w:val="clear" w:pos="4320"/>
          <w:tab w:val="clear" w:pos="8640"/>
        </w:tabs>
        <w:rPr/>
      </w:pPr>
      <w:r>
        <w:rPr/>
        <w:t>Fax: (503) 464-3740</w:t>
      </w:r>
    </w:p>
    <w:p>
      <w:pPr>
        <w:pStyle w:val="Normal"/>
        <w:widowControl/>
        <w:rPr/>
      </w:pPr>
      <w:r>
        <w:rPr/>
        <w:t xml:space="preserve">E-mail: </w:t>
      </w:r>
      <w:hyperlink r:id="rId2">
        <w:r>
          <w:rPr>
            <w:rStyle w:val="Hyperlink"/>
          </w:rPr>
          <w:t>john.malowney@enron.com</w:t>
        </w:r>
      </w:hyperlink>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ind w:hanging="180" w:start="180" w:end="0"/>
        <w:rPr>
          <w:b/>
          <w:i/>
          <w:i/>
          <w:u w:val="single"/>
        </w:rPr>
      </w:pPr>
      <w:r>
        <w:rPr>
          <w:b/>
          <w:i/>
          <w:u w:val="single"/>
        </w:rPr>
        <w:t>ELECTRICAL ENERGY PRICING</w:t>
      </w:r>
    </w:p>
    <w:p>
      <w:pPr>
        <w:pStyle w:val="Normal"/>
        <w:widowControl/>
        <w:ind w:hanging="180" w:start="180" w:end="0"/>
        <w:rPr>
          <w:b/>
          <w:i/>
          <w:i/>
          <w:u w:val="single"/>
        </w:rPr>
      </w:pPr>
      <w:r>
        <w:rPr>
          <w:b/>
          <w:i/>
          <w:u w:val="single"/>
        </w:rPr>
      </w:r>
    </w:p>
    <w:p>
      <w:pPr>
        <w:pStyle w:val="Normal"/>
        <w:widowControl/>
        <w:jc w:val="both"/>
        <w:rPr/>
      </w:pPr>
      <w:r>
        <w:rPr/>
        <w:t xml:space="preserve">The aforementioned pricing would be effective upon a specific date and would be subject to decreases or increases as market conditions change up to the date of execution of a contract between Air Products and Enron. </w:t>
      </w:r>
    </w:p>
    <w:p>
      <w:pPr>
        <w:pStyle w:val="Normal"/>
        <w:widowControl/>
        <w:ind w:hanging="2160" w:start="2160" w:end="0"/>
        <w:jc w:val="both"/>
        <w:rPr>
          <w:b/>
          <w:i/>
          <w:i/>
          <w:u w:val="single"/>
        </w:rPr>
      </w:pPr>
      <w:r>
        <w:rPr>
          <w:b/>
          <w:i/>
          <w:u w:val="single"/>
        </w:rPr>
      </w:r>
    </w:p>
    <w:p>
      <w:pPr>
        <w:pStyle w:val="Normal"/>
        <w:widowControl/>
        <w:ind w:hanging="2160" w:start="2160" w:end="0"/>
        <w:jc w:val="both"/>
        <w:rPr>
          <w:b/>
          <w:i/>
          <w:i/>
          <w:u w:val="single"/>
        </w:rPr>
      </w:pPr>
      <w:r>
        <w:rPr>
          <w:b/>
          <w:i/>
          <w:u w:val="single"/>
        </w:rPr>
        <w:t xml:space="preserve"> </w:t>
      </w:r>
      <w:r>
        <w:rPr>
          <w:b/>
          <w:i/>
          <w:u w:val="single"/>
        </w:rPr>
        <w:t>CONFIDENTIALITY</w:t>
      </w:r>
    </w:p>
    <w:p>
      <w:pPr>
        <w:pStyle w:val="Normal"/>
        <w:widowControl/>
        <w:jc w:val="both"/>
        <w:rPr>
          <w:b/>
          <w:i/>
          <w:i/>
          <w:u w:val="single"/>
        </w:rPr>
      </w:pPr>
      <w:r>
        <w:rPr>
          <w:b/>
          <w:i/>
          <w:u w:val="single"/>
        </w:rPr>
      </w:r>
    </w:p>
    <w:p>
      <w:pPr>
        <w:pStyle w:val="Normal"/>
        <w:widowControl/>
        <w:jc w:val="both"/>
        <w:rPr/>
      </w:pPr>
      <w:r>
        <w:rPr/>
        <w:t>All terms and conditions of this Term Sheet are confidential between Enron and Air Products and their duly appointed agents and are not to be disclosed to any third party other than affiliates of Enron and Air Products.</w:t>
      </w:r>
    </w:p>
    <w:p>
      <w:pPr>
        <w:pStyle w:val="Normal"/>
        <w:widowControl/>
        <w:ind w:hanging="2160" w:start="2160" w:end="0"/>
        <w:jc w:val="both"/>
        <w:rPr/>
      </w:pPr>
      <w:r>
        <w:rPr/>
      </w:r>
    </w:p>
    <w:p>
      <w:pPr>
        <w:pStyle w:val="Normal"/>
        <w:widowControl/>
        <w:jc w:val="both"/>
        <w:rPr>
          <w:b/>
          <w:i/>
          <w:i/>
        </w:rPr>
      </w:pPr>
      <w:r>
        <w:rPr>
          <w:b/>
          <w:i/>
        </w:rPr>
        <w:t>This term sheet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Enron or Air Products and Chemicals Corporation or any parent or affiliate of either.  The transaction described above is subject to further review and approval of the board of directors of Enron and the execution of the definitive agreement containing all appropriate provisions, including, but not limited to, those relating to credit and limitation of damages and remedies and force majeure.</w:t>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6" w:space="1" w:color="000000"/>
      </w:pBdr>
      <w:jc w:val="center"/>
      <w:rPr>
        <w:b/>
        <w:i/>
        <w:i/>
      </w:rPr>
    </w:pPr>
    <w:r>
      <w:rPr>
        <w:b/>
        <w:i/>
      </w:rPr>
      <w:t>Confidential - For Discussion Purposes Only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bottom w:val="single" w:sz="6" w:space="1" w:color="000000"/>
      </w:pBdr>
      <w:jc w:val="end"/>
      <w:rPr>
        <w:b/>
        <w:i/>
        <w:i/>
      </w:rPr>
    </w:pPr>
    <w:r>
      <w:rPr>
        <w:b/>
        <w:i/>
      </w:rPr>
      <w:t>ENRON POWER MARKETING, INC.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b/>
      <w:i/>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b/>
      <w:i/>
    </w:rPr>
  </w:style>
  <w:style w:type="paragraph" w:styleId="Heading5">
    <w:name w:val="heading 5"/>
    <w:basedOn w:val="Normal"/>
    <w:next w:val="Normal"/>
    <w:qFormat/>
    <w:pPr>
      <w:keepNext w:val="true"/>
      <w:widowControl/>
      <w:numPr>
        <w:ilvl w:val="4"/>
        <w:numId w:val="1"/>
      </w:numPr>
      <w:outlineLvl w:val="4"/>
    </w:pPr>
    <w:rPr>
      <w:i/>
      <w:u w:val="single"/>
    </w:rPr>
  </w:style>
  <w:style w:type="paragraph" w:styleId="Heading6">
    <w:name w:val="heading 6"/>
    <w:basedOn w:val="Normal"/>
    <w:next w:val="Normal"/>
    <w:qFormat/>
    <w:pPr>
      <w:keepNext w:val="true"/>
      <w:numPr>
        <w:ilvl w:val="5"/>
        <w:numId w:val="1"/>
      </w:numPr>
      <w:ind w:hanging="0" w:start="1440" w:end="0"/>
      <w:jc w:val="both"/>
      <w:outlineLvl w:val="5"/>
    </w:pPr>
    <w:rPr>
      <w:b/>
      <w:i/>
      <w:sz w:val="22"/>
      <w:u w:val="single"/>
    </w:rPr>
  </w:style>
  <w:style w:type="paragraph" w:styleId="Heading7">
    <w:name w:val="heading 7"/>
    <w:basedOn w:val="Normal"/>
    <w:next w:val="Normal"/>
    <w:qFormat/>
    <w:pPr>
      <w:keepNext w:val="true"/>
      <w:numPr>
        <w:ilvl w:val="6"/>
        <w:numId w:val="1"/>
      </w:numPr>
      <w:ind w:hanging="720" w:start="720" w:end="0"/>
      <w:jc w:val="center"/>
      <w:outlineLvl w:val="6"/>
    </w:pPr>
    <w:rPr>
      <w:b/>
    </w:rPr>
  </w:style>
  <w:style w:type="paragraph" w:styleId="Heading8">
    <w:name w:val="heading 8"/>
    <w:basedOn w:val="Normal"/>
    <w:next w:val="Normal"/>
    <w:qFormat/>
    <w:pPr>
      <w:keepNext w:val="true"/>
      <w:numPr>
        <w:ilvl w:val="7"/>
        <w:numId w:val="1"/>
      </w:numPr>
      <w:ind w:hanging="720" w:start="720" w:end="0"/>
      <w:outlineLvl w:val="7"/>
    </w:pPr>
    <w:rPr>
      <w:u w:val="single"/>
    </w:rPr>
  </w:style>
  <w:style w:type="paragraph" w:styleId="Heading9">
    <w:name w:val="heading 9"/>
    <w:basedOn w:val="Normal"/>
    <w:next w:val="Normal"/>
    <w:qFormat/>
    <w:pPr>
      <w:keepNext w:val="true"/>
      <w:widowControl/>
      <w:numPr>
        <w:ilvl w:val="8"/>
        <w:numId w:val="1"/>
      </w:numPr>
      <w:ind w:hanging="180" w:start="180" w:end="0"/>
      <w:outlineLvl w:val="8"/>
    </w:pPr>
    <w:rPr>
      <w:b/>
      <w:i/>
      <w:u w:val="single"/>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3">
    <w:name w:val="Body Text 3"/>
    <w:basedOn w:val="BodyTextIndent"/>
    <w:qFormat/>
    <w:pPr/>
    <w:rPr>
      <w:sz w:val="20"/>
    </w:rPr>
  </w:style>
  <w:style w:type="paragraph" w:styleId="BodyText2">
    <w:name w:val="Body Text 2"/>
    <w:basedOn w:val="Normal"/>
    <w:qFormat/>
    <w:pPr>
      <w:jc w:val="both"/>
    </w:pPr>
    <w:rPr>
      <w:b/>
      <w:sz w:val="22"/>
    </w:rPr>
  </w:style>
  <w:style w:type="paragraph" w:styleId="BodyTextIndent2">
    <w:name w:val="Body Text Indent 2"/>
    <w:basedOn w:val="Normal"/>
    <w:qFormat/>
    <w:pPr>
      <w:ind w:hanging="2160" w:start="2160" w:end="0"/>
    </w:pPr>
    <w:rPr>
      <w:sz w:val="22"/>
    </w:rPr>
  </w:style>
  <w:style w:type="paragraph" w:styleId="BodyTextIndent3">
    <w:name w:val="Body Text Indent 3"/>
    <w:basedOn w:val="Normal"/>
    <w:qFormat/>
    <w:pPr>
      <w:ind w:hanging="0" w:start="180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malowney@enro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2001-08-17T14:34:00Z</dcterms:created>
  <dc:creator>John Malowney</dc:creator>
  <dc:description/>
  <dc:language>en-CA</dc:language>
  <cp:lastModifiedBy>jmalown</cp:lastModifiedBy>
  <cp:lastPrinted>2001-08-17T10:28:00Z</cp:lastPrinted>
  <dcterms:modified xsi:type="dcterms:W3CDTF">2001-08-17T15:02:00Z</dcterms:modified>
  <cp:revision>5</cp:revision>
  <dc:subject/>
  <dc:title>PROPOSED TERMS FOR</dc:title>
</cp:coreProperties>
</file>