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u w:val="single"/>
        </w:rPr>
      </w:pPr>
      <w:r>
        <w:rPr/>
        <w:drawing>
          <wp:inline distT="0" distB="0" distL="0" distR="0">
            <wp:extent cx="2732405" cy="56642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3" t="-64" r="-13" b="-64"/>
                    <a:stretch>
                      <a:fillRect/>
                    </a:stretch>
                  </pic:blipFill>
                  <pic:spPr bwMode="auto">
                    <a:xfrm>
                      <a:off x="0" y="0"/>
                      <a:ext cx="2732405" cy="566420"/>
                    </a:xfrm>
                    <a:prstGeom prst="rect">
                      <a:avLst/>
                    </a:prstGeom>
                    <a:noFill/>
                  </pic:spPr>
                </pic:pic>
              </a:graphicData>
            </a:graphic>
          </wp:inline>
        </w:drawing>
      </w:r>
    </w:p>
    <w:p>
      <w:pPr>
        <w:pStyle w:val="Normal"/>
        <w:rPr>
          <w:sz w:val="22"/>
          <w:u w:val="single"/>
        </w:rPr>
      </w:pPr>
      <w:r>
        <w:rPr>
          <w:sz w:val="22"/>
          <w:u w:val="single"/>
        </w:rPr>
      </w:r>
    </w:p>
    <w:p>
      <w:pPr>
        <w:pStyle w:val="Normal"/>
        <w:jc w:val="end"/>
        <w:rPr>
          <w:sz w:val="22"/>
          <w:u w:val="single"/>
        </w:rPr>
      </w:pPr>
      <w:r>
        <w:rPr>
          <w:sz w:val="22"/>
          <w:u w:val="single"/>
        </w:rPr>
      </w:r>
    </w:p>
    <w:p>
      <w:pPr>
        <w:pStyle w:val="Normal"/>
        <w:jc w:val="end"/>
        <w:rPr>
          <w:sz w:val="22"/>
          <w:u w:val="single"/>
        </w:rPr>
      </w:pPr>
      <w:r>
        <w:rPr>
          <w:sz w:val="22"/>
          <w:u w:val="single"/>
        </w:rPr>
      </w:r>
    </w:p>
    <w:p>
      <w:pPr>
        <w:pStyle w:val="Normal"/>
        <w:jc w:val="end"/>
        <w:rPr>
          <w:sz w:val="22"/>
          <w:u w:val="single"/>
        </w:rPr>
      </w:pPr>
      <w:r>
        <w:rPr>
          <w:sz w:val="22"/>
          <w:u w:val="single"/>
        </w:rPr>
        <w:t>Draft 5/01/2000</w:t>
      </w:r>
    </w:p>
    <w:p>
      <w:pPr>
        <w:pStyle w:val="Normal"/>
        <w:rPr>
          <w:sz w:val="22"/>
          <w:u w:val="single"/>
        </w:rPr>
      </w:pPr>
      <w:r>
        <w:rPr>
          <w:sz w:val="22"/>
          <w:u w:val="single"/>
        </w:rPr>
      </w:r>
    </w:p>
    <w:p>
      <w:pPr>
        <w:pStyle w:val="Normal"/>
        <w:rPr>
          <w:sz w:val="22"/>
        </w:rPr>
      </w:pPr>
      <w:r>
        <w:rPr>
          <w:sz w:val="22"/>
        </w:rPr>
      </w:r>
    </w:p>
    <w:p>
      <w:pPr>
        <w:pStyle w:val="Heading1"/>
        <w:ind w:hanging="0" w:start="0"/>
        <w:rPr/>
      </w:pPr>
      <w:r>
        <w:rPr/>
        <w:t>Revolving Prepaid Committed Facility</w:t>
      </w:r>
    </w:p>
    <w:p>
      <w:pPr>
        <w:pStyle w:val="Normal"/>
        <w:jc w:val="center"/>
        <w:rPr>
          <w:sz w:val="22"/>
        </w:rPr>
      </w:pPr>
      <w:r>
        <w:rPr>
          <w:sz w:val="22"/>
        </w:rPr>
        <w:t>(Indicative terms as of [May 1], 2000; Proprietary and Confidential)</w:t>
      </w:r>
    </w:p>
    <w:p>
      <w:pPr>
        <w:pStyle w:val="Normal"/>
        <w:jc w:val="center"/>
        <w:rPr>
          <w:sz w:val="22"/>
        </w:rPr>
      </w:pPr>
      <w:r>
        <w:rPr>
          <w:sz w:val="22"/>
        </w:rPr>
      </w:r>
    </w:p>
    <w:p>
      <w:pPr>
        <w:pStyle w:val="BodyText2"/>
        <w:rPr/>
      </w:pPr>
      <w:r>
        <w:rPr/>
        <w:t>The following Summary of Terms does not purport to set forth the full terms of the proposed transaction (the “Transaction”).  Additional terms will be detailed in the final documentation and agreed upon by the parties thereto.</w:t>
      </w:r>
    </w:p>
    <w:p>
      <w:pPr>
        <w:pStyle w:val="Normal"/>
        <w:jc w:val="center"/>
        <w:rPr>
          <w:sz w:val="22"/>
        </w:rPr>
      </w:pPr>
      <w:r>
        <w:rPr>
          <w:sz w:val="22"/>
        </w:rPr>
      </w:r>
    </w:p>
    <w:p>
      <w:pPr>
        <w:pStyle w:val="Normal"/>
        <w:ind w:start="720" w:end="0"/>
        <w:rPr>
          <w:sz w:val="22"/>
        </w:rPr>
      </w:pPr>
      <w:r>
        <w:rPr>
          <w:sz w:val="22"/>
        </w:rPr>
      </w:r>
    </w:p>
    <w:tbl>
      <w:tblPr>
        <w:tblW w:w="10800" w:type="dxa"/>
        <w:jc w:val="start"/>
        <w:tblInd w:w="-1170" w:type="dxa"/>
        <w:tblLayout w:type="fixed"/>
        <w:tblCellMar>
          <w:top w:w="0" w:type="dxa"/>
          <w:start w:w="0" w:type="dxa"/>
          <w:bottom w:w="0" w:type="dxa"/>
          <w:end w:w="0" w:type="dxa"/>
        </w:tblCellMar>
      </w:tblPr>
      <w:tblGrid>
        <w:gridCol w:w="90"/>
        <w:gridCol w:w="180"/>
        <w:gridCol w:w="3883"/>
        <w:gridCol w:w="56"/>
        <w:gridCol w:w="111"/>
        <w:gridCol w:w="6480"/>
      </w:tblGrid>
      <w:tr>
        <w:trPr/>
        <w:tc>
          <w:tcPr>
            <w:tcW w:w="90" w:type="dxa"/>
            <w:tcBorders/>
          </w:tcPr>
          <w:p>
            <w:pPr>
              <w:pStyle w:val="TableHeading"/>
              <w:rPr/>
            </w:pPr>
            <w:r>
              <w:rPr/>
            </w:r>
          </w:p>
        </w:tc>
        <w:tc>
          <w:tcPr>
            <w:tcW w:w="4119" w:type="dxa"/>
            <w:gridSpan w:val="3"/>
            <w:tcBorders/>
            <w:tcMar>
              <w:start w:w="108" w:type="dxa"/>
              <w:end w:w="108" w:type="dxa"/>
            </w:tcMar>
          </w:tcPr>
          <w:p>
            <w:pPr>
              <w:pStyle w:val="Normal"/>
              <w:rPr>
                <w:i/>
                <w:i/>
                <w:sz w:val="22"/>
              </w:rPr>
            </w:pPr>
            <w:r>
              <w:rPr>
                <w:b/>
                <w:i/>
                <w:sz w:val="22"/>
              </w:rPr>
              <w:t>General Terms</w:t>
            </w:r>
          </w:p>
        </w:tc>
        <w:tc>
          <w:tcPr>
            <w:tcW w:w="6591" w:type="dxa"/>
            <w:gridSpan w:val="2"/>
            <w:tcBorders/>
            <w:tcMar>
              <w:start w:w="108" w:type="dxa"/>
              <w:end w:w="108" w:type="dxa"/>
            </w:tcMar>
          </w:tcPr>
          <w:p>
            <w:pPr>
              <w:pStyle w:val="Normal"/>
              <w:snapToGrid w:val="false"/>
              <w:rPr>
                <w:i/>
                <w:i/>
                <w:sz w:val="22"/>
              </w:rPr>
            </w:pPr>
            <w:r>
              <w:rPr>
                <w:i/>
                <w:sz w:val="22"/>
              </w:rPr>
            </w:r>
          </w:p>
        </w:tc>
      </w:tr>
      <w:tr>
        <w:trPr/>
        <w:tc>
          <w:tcPr>
            <w:tcW w:w="270" w:type="dxa"/>
            <w:gridSpan w:val="2"/>
            <w:tcBorders/>
          </w:tcPr>
          <w:p>
            <w:pPr>
              <w:pStyle w:val="Normal"/>
              <w:rPr>
                <w:sz w:val="22"/>
              </w:rPr>
            </w:pPr>
            <w:r>
              <w:rPr>
                <w:sz w:val="22"/>
              </w:rPr>
            </w:r>
          </w:p>
        </w:tc>
        <w:tc>
          <w:tcPr>
            <w:tcW w:w="4050" w:type="dxa"/>
            <w:gridSpan w:val="3"/>
            <w:tcBorders/>
            <w:tcMar>
              <w:start w:w="108" w:type="dxa"/>
              <w:end w:w="108" w:type="dxa"/>
            </w:tcMar>
          </w:tcPr>
          <w:p>
            <w:pPr>
              <w:pStyle w:val="Normal"/>
              <w:snapToGrid w:val="false"/>
              <w:rPr>
                <w:i/>
                <w:i/>
                <w:sz w:val="22"/>
              </w:rPr>
            </w:pPr>
            <w:r>
              <w:rPr>
                <w:i/>
                <w:sz w:val="22"/>
              </w:rPr>
            </w:r>
          </w:p>
        </w:tc>
        <w:tc>
          <w:tcPr>
            <w:tcW w:w="6480" w:type="dxa"/>
            <w:tcBorders/>
            <w:tcMar>
              <w:start w:w="108" w:type="dxa"/>
              <w:end w:w="108" w:type="dxa"/>
            </w:tcMar>
          </w:tcPr>
          <w:p>
            <w:pPr>
              <w:pStyle w:val="Normal"/>
              <w:snapToGrid w:val="false"/>
              <w:rPr>
                <w:i/>
                <w:i/>
                <w:sz w:val="22"/>
              </w:rPr>
            </w:pPr>
            <w:r>
              <w:rPr>
                <w:i/>
                <w:sz w:val="22"/>
              </w:rPr>
            </w:r>
          </w:p>
        </w:tc>
      </w:tr>
      <w:tr>
        <w:trPr/>
        <w:tc>
          <w:tcPr>
            <w:tcW w:w="270" w:type="dxa"/>
            <w:gridSpan w:val="2"/>
            <w:tcBorders/>
          </w:tcPr>
          <w:p>
            <w:pPr>
              <w:pStyle w:val="Normal"/>
              <w:rPr>
                <w:sz w:val="22"/>
              </w:rPr>
            </w:pPr>
            <w:r>
              <w:rPr>
                <w:sz w:val="22"/>
              </w:rPr>
            </w:r>
          </w:p>
        </w:tc>
        <w:tc>
          <w:tcPr>
            <w:tcW w:w="4050" w:type="dxa"/>
            <w:gridSpan w:val="3"/>
            <w:tcBorders/>
            <w:tcMar>
              <w:start w:w="108" w:type="dxa"/>
              <w:end w:w="108" w:type="dxa"/>
            </w:tcMar>
          </w:tcPr>
          <w:p>
            <w:pPr>
              <w:pStyle w:val="Normal"/>
              <w:rPr>
                <w:i/>
                <w:i/>
                <w:sz w:val="22"/>
              </w:rPr>
            </w:pPr>
            <w:r>
              <w:rPr>
                <w:i/>
                <w:sz w:val="22"/>
              </w:rPr>
              <w:t>Delta:</w:t>
            </w:r>
          </w:p>
        </w:tc>
        <w:tc>
          <w:tcPr>
            <w:tcW w:w="6480" w:type="dxa"/>
            <w:tcBorders/>
            <w:tcMar>
              <w:start w:w="108" w:type="dxa"/>
              <w:end w:w="108" w:type="dxa"/>
            </w:tcMar>
          </w:tcPr>
          <w:p>
            <w:pPr>
              <w:pStyle w:val="Normal"/>
              <w:rPr>
                <w:sz w:val="22"/>
              </w:rPr>
            </w:pPr>
            <w:r>
              <w:rPr>
                <w:sz w:val="22"/>
              </w:rPr>
              <w:t>Delta Energy Corporation is an exempted, limited liability company formed under the laws of the Cayman Islands.  Delta will enter into the Delta Floor Option Master Confirmation and, from time to time, Delta Floor Pricing Supplements.</w:t>
            </w:r>
          </w:p>
        </w:tc>
      </w:tr>
      <w:tr>
        <w:trPr/>
        <w:tc>
          <w:tcPr>
            <w:tcW w:w="270" w:type="dxa"/>
            <w:gridSpan w:val="2"/>
            <w:tcBorders/>
          </w:tcPr>
          <w:p>
            <w:pPr>
              <w:pStyle w:val="Normal"/>
              <w:rPr>
                <w:sz w:val="22"/>
              </w:rPr>
            </w:pPr>
            <w:r>
              <w:rPr>
                <w:sz w:val="22"/>
              </w:rPr>
            </w:r>
          </w:p>
        </w:tc>
        <w:tc>
          <w:tcPr>
            <w:tcW w:w="4050" w:type="dxa"/>
            <w:gridSpan w:val="3"/>
            <w:tcBorders/>
            <w:tcMar>
              <w:start w:w="108" w:type="dxa"/>
              <w:end w:w="108" w:type="dxa"/>
            </w:tcMar>
          </w:tcPr>
          <w:p>
            <w:pPr>
              <w:pStyle w:val="Normal"/>
              <w:snapToGrid w:val="false"/>
              <w:rPr>
                <w:i/>
                <w:i/>
                <w:sz w:val="22"/>
              </w:rPr>
            </w:pPr>
            <w:r>
              <w:rPr>
                <w:i/>
                <w:sz w:val="22"/>
              </w:rPr>
            </w:r>
          </w:p>
        </w:tc>
        <w:tc>
          <w:tcPr>
            <w:tcW w:w="6480" w:type="dxa"/>
            <w:tcBorders/>
            <w:tcMar>
              <w:start w:w="108" w:type="dxa"/>
              <w:end w:w="108" w:type="dxa"/>
            </w:tcMar>
          </w:tcPr>
          <w:p>
            <w:pPr>
              <w:pStyle w:val="Normal"/>
              <w:snapToGrid w:val="false"/>
              <w:rPr>
                <w:i/>
                <w:i/>
                <w:sz w:val="22"/>
              </w:rPr>
            </w:pPr>
            <w:r>
              <w:rPr>
                <w:i/>
                <w:sz w:val="22"/>
              </w:rPr>
            </w:r>
          </w:p>
        </w:tc>
      </w:tr>
      <w:tr>
        <w:trPr/>
        <w:tc>
          <w:tcPr>
            <w:tcW w:w="270" w:type="dxa"/>
            <w:gridSpan w:val="2"/>
            <w:tcBorders/>
          </w:tcPr>
          <w:p>
            <w:pPr>
              <w:pStyle w:val="Normal"/>
              <w:rPr>
                <w:sz w:val="22"/>
              </w:rPr>
            </w:pPr>
            <w:r>
              <w:rPr>
                <w:sz w:val="22"/>
              </w:rPr>
            </w:r>
          </w:p>
        </w:tc>
        <w:tc>
          <w:tcPr>
            <w:tcW w:w="4050" w:type="dxa"/>
            <w:gridSpan w:val="3"/>
            <w:tcBorders/>
            <w:tcMar>
              <w:start w:w="108" w:type="dxa"/>
              <w:end w:w="108" w:type="dxa"/>
            </w:tcMar>
          </w:tcPr>
          <w:p>
            <w:pPr>
              <w:pStyle w:val="Normal"/>
              <w:rPr>
                <w:i/>
                <w:i/>
                <w:sz w:val="22"/>
              </w:rPr>
            </w:pPr>
            <w:r>
              <w:rPr>
                <w:i/>
                <w:sz w:val="22"/>
              </w:rPr>
              <w:t>Banks:</w:t>
            </w:r>
          </w:p>
        </w:tc>
        <w:tc>
          <w:tcPr>
            <w:tcW w:w="6480" w:type="dxa"/>
            <w:tcBorders/>
            <w:tcMar>
              <w:start w:w="108" w:type="dxa"/>
              <w:end w:w="108" w:type="dxa"/>
            </w:tcMar>
          </w:tcPr>
          <w:p>
            <w:pPr>
              <w:pStyle w:val="Normal"/>
              <w:rPr>
                <w:sz w:val="22"/>
              </w:rPr>
            </w:pPr>
            <w:r>
              <w:rPr>
                <w:sz w:val="22"/>
              </w:rPr>
              <w:t>[Enron to identify] Each Bank will enter into a 3 year commitment facility (the “CDS Committed Facility”) pursuant to which it will be obligated to execute a 90 day credit default swap confirmation (each, a “Credit Default Swap Confirmation”) from time to time for the benefit of Citibank in an aggregate amount at any one time and from time to time of $[    ] million (the “Program Notional Amount”).</w:t>
            </w:r>
          </w:p>
        </w:tc>
      </w:tr>
      <w:tr>
        <w:trPr/>
        <w:tc>
          <w:tcPr>
            <w:tcW w:w="270" w:type="dxa"/>
            <w:gridSpan w:val="2"/>
            <w:tcBorders/>
          </w:tcPr>
          <w:p>
            <w:pPr>
              <w:pStyle w:val="Normal"/>
              <w:rPr>
                <w:sz w:val="22"/>
              </w:rPr>
            </w:pPr>
            <w:r>
              <w:rPr>
                <w:sz w:val="22"/>
              </w:rPr>
            </w:r>
          </w:p>
        </w:tc>
        <w:tc>
          <w:tcPr>
            <w:tcW w:w="4050" w:type="dxa"/>
            <w:gridSpan w:val="3"/>
            <w:tcBorders/>
            <w:tcMar>
              <w:start w:w="108" w:type="dxa"/>
              <w:end w:w="108" w:type="dxa"/>
            </w:tcMar>
          </w:tcPr>
          <w:p>
            <w:pPr>
              <w:pStyle w:val="Normal"/>
              <w:snapToGrid w:val="false"/>
              <w:rPr>
                <w:i/>
                <w:i/>
                <w:sz w:val="22"/>
              </w:rPr>
            </w:pPr>
            <w:r>
              <w:rPr>
                <w:i/>
                <w:sz w:val="22"/>
              </w:rPr>
            </w:r>
          </w:p>
        </w:tc>
        <w:tc>
          <w:tcPr>
            <w:tcW w:w="6480" w:type="dxa"/>
            <w:tcBorders/>
            <w:tcMar>
              <w:start w:w="108" w:type="dxa"/>
              <w:end w:w="108" w:type="dxa"/>
            </w:tcMar>
          </w:tcPr>
          <w:p>
            <w:pPr>
              <w:pStyle w:val="Normal"/>
              <w:snapToGrid w:val="false"/>
              <w:rPr>
                <w:i/>
                <w:i/>
                <w:sz w:val="22"/>
              </w:rPr>
            </w:pPr>
            <w:r>
              <w:rPr>
                <w:i/>
                <w:sz w:val="22"/>
              </w:rPr>
            </w:r>
          </w:p>
        </w:tc>
      </w:tr>
      <w:tr>
        <w:trPr/>
        <w:tc>
          <w:tcPr>
            <w:tcW w:w="270" w:type="dxa"/>
            <w:gridSpan w:val="2"/>
            <w:tcBorders/>
          </w:tcPr>
          <w:p>
            <w:pPr>
              <w:pStyle w:val="Normal"/>
              <w:rPr>
                <w:sz w:val="22"/>
              </w:rPr>
            </w:pPr>
            <w:r>
              <w:rPr>
                <w:sz w:val="22"/>
              </w:rPr>
            </w:r>
          </w:p>
        </w:tc>
        <w:tc>
          <w:tcPr>
            <w:tcW w:w="4050" w:type="dxa"/>
            <w:gridSpan w:val="3"/>
            <w:tcBorders/>
            <w:tcMar>
              <w:start w:w="108" w:type="dxa"/>
              <w:end w:w="108" w:type="dxa"/>
            </w:tcMar>
          </w:tcPr>
          <w:p>
            <w:pPr>
              <w:pStyle w:val="Normal"/>
              <w:rPr>
                <w:i/>
                <w:i/>
                <w:sz w:val="22"/>
              </w:rPr>
            </w:pPr>
            <w:r>
              <w:rPr>
                <w:i/>
                <w:sz w:val="22"/>
              </w:rPr>
              <w:t>Citibank:</w:t>
            </w:r>
          </w:p>
        </w:tc>
        <w:tc>
          <w:tcPr>
            <w:tcW w:w="6480" w:type="dxa"/>
            <w:tcBorders/>
            <w:tcMar>
              <w:start w:w="108" w:type="dxa"/>
              <w:end w:w="108" w:type="dxa"/>
            </w:tcMar>
          </w:tcPr>
          <w:p>
            <w:pPr>
              <w:pStyle w:val="Normal"/>
              <w:rPr>
                <w:sz w:val="22"/>
              </w:rPr>
            </w:pPr>
            <w:r>
              <w:rPr>
                <w:sz w:val="22"/>
              </w:rPr>
              <w:t>Citibank, N.A. will execute the Revolving Prepaid Committed Facility, the Revolving Prepaid Master Confirmation, the Delta Option Master Confirmation, the CDS Committed Facility and each Credit Default Swap Confirmation.  From time to time Citibank will execute Delta Floor Pricing Supplements, Revolving Prepaid Pricing Supplements and Notices Requesting Credit Default Swaps under the CDS Committed Facility.</w:t>
            </w:r>
          </w:p>
        </w:tc>
      </w:tr>
      <w:tr>
        <w:trPr/>
        <w:tc>
          <w:tcPr>
            <w:tcW w:w="270" w:type="dxa"/>
            <w:gridSpan w:val="2"/>
            <w:tcBorders/>
          </w:tcPr>
          <w:p>
            <w:pPr>
              <w:pStyle w:val="Normal"/>
              <w:rPr>
                <w:sz w:val="22"/>
              </w:rPr>
            </w:pPr>
            <w:r>
              <w:rPr>
                <w:sz w:val="22"/>
              </w:rPr>
            </w:r>
          </w:p>
        </w:tc>
        <w:tc>
          <w:tcPr>
            <w:tcW w:w="4050" w:type="dxa"/>
            <w:gridSpan w:val="3"/>
            <w:tcBorders/>
            <w:tcMar>
              <w:start w:w="108" w:type="dxa"/>
              <w:end w:w="108" w:type="dxa"/>
            </w:tcMar>
          </w:tcPr>
          <w:p>
            <w:pPr>
              <w:pStyle w:val="Normal"/>
              <w:snapToGrid w:val="false"/>
              <w:rPr>
                <w:i/>
                <w:i/>
                <w:sz w:val="22"/>
              </w:rPr>
            </w:pPr>
            <w:r>
              <w:rPr>
                <w:i/>
                <w:sz w:val="22"/>
              </w:rPr>
            </w:r>
          </w:p>
        </w:tc>
        <w:tc>
          <w:tcPr>
            <w:tcW w:w="6480" w:type="dxa"/>
            <w:tcBorders/>
            <w:tcMar>
              <w:start w:w="108" w:type="dxa"/>
              <w:end w:w="108" w:type="dxa"/>
            </w:tcMar>
          </w:tcPr>
          <w:p>
            <w:pPr>
              <w:pStyle w:val="Normal"/>
              <w:snapToGrid w:val="false"/>
              <w:rPr>
                <w:i/>
                <w:i/>
                <w:sz w:val="22"/>
              </w:rPr>
            </w:pPr>
            <w:r>
              <w:rPr>
                <w:i/>
                <w:sz w:val="22"/>
              </w:rPr>
            </w:r>
          </w:p>
        </w:tc>
      </w:tr>
      <w:tr>
        <w:trPr/>
        <w:tc>
          <w:tcPr>
            <w:tcW w:w="270" w:type="dxa"/>
            <w:gridSpan w:val="2"/>
            <w:tcBorders/>
          </w:tcPr>
          <w:p>
            <w:pPr>
              <w:pStyle w:val="Normal"/>
              <w:rPr>
                <w:sz w:val="22"/>
              </w:rPr>
            </w:pPr>
            <w:r>
              <w:rPr>
                <w:sz w:val="22"/>
              </w:rPr>
            </w:r>
          </w:p>
        </w:tc>
        <w:tc>
          <w:tcPr>
            <w:tcW w:w="4050" w:type="dxa"/>
            <w:gridSpan w:val="3"/>
            <w:tcBorders/>
            <w:tcMar>
              <w:start w:w="108" w:type="dxa"/>
              <w:end w:w="108" w:type="dxa"/>
            </w:tcMar>
          </w:tcPr>
          <w:p>
            <w:pPr>
              <w:pStyle w:val="Normal"/>
              <w:rPr>
                <w:i/>
                <w:i/>
                <w:sz w:val="22"/>
              </w:rPr>
            </w:pPr>
            <w:r>
              <w:rPr>
                <w:i/>
                <w:sz w:val="22"/>
              </w:rPr>
              <w:t>Enron Corp.:</w:t>
            </w:r>
          </w:p>
        </w:tc>
        <w:tc>
          <w:tcPr>
            <w:tcW w:w="6480" w:type="dxa"/>
            <w:tcBorders/>
            <w:tcMar>
              <w:start w:w="108" w:type="dxa"/>
              <w:end w:w="108" w:type="dxa"/>
            </w:tcMar>
          </w:tcPr>
          <w:p>
            <w:pPr>
              <w:pStyle w:val="Normal"/>
              <w:rPr>
                <w:sz w:val="22"/>
              </w:rPr>
            </w:pPr>
            <w:r>
              <w:rPr>
                <w:sz w:val="22"/>
              </w:rPr>
              <w:t>Enron Corp. will execute the Revolving Prepaid Committed Facility, the Revolving Prepaid Master Confirmation, the Enron Option Master Confirmation and the Delta Option Master Confirmation.  From time to time, Enron will execute Enron Floor Pricing Supplements and Revolving Prepaid Pricing Supplements.</w:t>
            </w:r>
          </w:p>
        </w:tc>
      </w:tr>
      <w:tr>
        <w:trPr/>
        <w:tc>
          <w:tcPr>
            <w:tcW w:w="270" w:type="dxa"/>
            <w:gridSpan w:val="2"/>
            <w:tcBorders/>
          </w:tcPr>
          <w:p>
            <w:pPr>
              <w:pStyle w:val="Normal"/>
              <w:rPr>
                <w:sz w:val="22"/>
              </w:rPr>
            </w:pPr>
            <w:r>
              <w:rPr>
                <w:sz w:val="22"/>
              </w:rPr>
            </w:r>
          </w:p>
        </w:tc>
        <w:tc>
          <w:tcPr>
            <w:tcW w:w="4050" w:type="dxa"/>
            <w:gridSpan w:val="3"/>
            <w:tcBorders/>
            <w:tcMar>
              <w:start w:w="108" w:type="dxa"/>
              <w:end w:w="108" w:type="dxa"/>
            </w:tcMar>
          </w:tcPr>
          <w:p>
            <w:pPr>
              <w:pStyle w:val="Normal"/>
              <w:snapToGrid w:val="false"/>
              <w:rPr>
                <w:i/>
                <w:i/>
                <w:sz w:val="22"/>
              </w:rPr>
            </w:pPr>
            <w:r>
              <w:rPr>
                <w:i/>
                <w:sz w:val="22"/>
              </w:rPr>
            </w:r>
          </w:p>
        </w:tc>
        <w:tc>
          <w:tcPr>
            <w:tcW w:w="6480" w:type="dxa"/>
            <w:tcBorders/>
            <w:tcMar>
              <w:start w:w="108" w:type="dxa"/>
              <w:end w:w="108" w:type="dxa"/>
            </w:tcMar>
          </w:tcPr>
          <w:p>
            <w:pPr>
              <w:pStyle w:val="Normal"/>
              <w:snapToGrid w:val="false"/>
              <w:rPr>
                <w:i/>
                <w:i/>
                <w:sz w:val="22"/>
              </w:rPr>
            </w:pPr>
            <w:r>
              <w:rPr>
                <w:i/>
                <w:sz w:val="22"/>
              </w:rPr>
            </w:r>
          </w:p>
        </w:tc>
      </w:tr>
      <w:tr>
        <w:trPr/>
        <w:tc>
          <w:tcPr>
            <w:tcW w:w="270" w:type="dxa"/>
            <w:gridSpan w:val="2"/>
            <w:tcBorders/>
          </w:tcPr>
          <w:p>
            <w:pPr>
              <w:pStyle w:val="Normal"/>
              <w:rPr>
                <w:sz w:val="22"/>
              </w:rPr>
            </w:pPr>
            <w:r>
              <w:rPr>
                <w:sz w:val="22"/>
              </w:rPr>
            </w:r>
          </w:p>
        </w:tc>
        <w:tc>
          <w:tcPr>
            <w:tcW w:w="4050" w:type="dxa"/>
            <w:gridSpan w:val="3"/>
            <w:tcBorders/>
            <w:tcMar>
              <w:start w:w="108" w:type="dxa"/>
              <w:end w:w="108" w:type="dxa"/>
            </w:tcMar>
          </w:tcPr>
          <w:p>
            <w:pPr>
              <w:pStyle w:val="Normal"/>
              <w:rPr>
                <w:b/>
                <w:i/>
                <w:i/>
                <w:sz w:val="22"/>
              </w:rPr>
            </w:pPr>
            <w:r>
              <w:rPr>
                <w:b/>
                <w:i/>
                <w:sz w:val="22"/>
              </w:rPr>
              <w:t>Revolving Prepaid Committed Facility Terms</w:t>
            </w:r>
          </w:p>
        </w:tc>
        <w:tc>
          <w:tcPr>
            <w:tcW w:w="6480" w:type="dxa"/>
            <w:tcBorders/>
            <w:tcMar>
              <w:start w:w="108" w:type="dxa"/>
              <w:end w:w="108" w:type="dxa"/>
            </w:tcMar>
          </w:tcPr>
          <w:p>
            <w:pPr>
              <w:pStyle w:val="Normal"/>
              <w:snapToGrid w:val="false"/>
              <w:rPr>
                <w:b/>
                <w:i/>
                <w:i/>
                <w:sz w:val="22"/>
              </w:rPr>
            </w:pPr>
            <w:r>
              <w:rPr>
                <w:b/>
                <w:i/>
                <w:sz w:val="22"/>
              </w:rPr>
            </w:r>
          </w:p>
        </w:tc>
      </w:tr>
      <w:tr>
        <w:trPr/>
        <w:tc>
          <w:tcPr>
            <w:tcW w:w="270" w:type="dxa"/>
            <w:gridSpan w:val="2"/>
            <w:tcBorders/>
          </w:tcPr>
          <w:p>
            <w:pPr>
              <w:pStyle w:val="Normal"/>
              <w:rPr>
                <w:sz w:val="22"/>
              </w:rPr>
            </w:pPr>
            <w:r>
              <w:rPr>
                <w:sz w:val="22"/>
              </w:rPr>
            </w:r>
          </w:p>
        </w:tc>
        <w:tc>
          <w:tcPr>
            <w:tcW w:w="4050" w:type="dxa"/>
            <w:gridSpan w:val="3"/>
            <w:tcBorders/>
            <w:tcMar>
              <w:start w:w="108" w:type="dxa"/>
              <w:end w:w="108" w:type="dxa"/>
            </w:tcMar>
          </w:tcPr>
          <w:p>
            <w:pPr>
              <w:pStyle w:val="Normal"/>
              <w:snapToGrid w:val="false"/>
              <w:rPr>
                <w:i/>
                <w:i/>
                <w:sz w:val="22"/>
              </w:rPr>
            </w:pPr>
            <w:r>
              <w:rPr>
                <w:i/>
                <w:sz w:val="22"/>
              </w:rPr>
            </w:r>
          </w:p>
        </w:tc>
        <w:tc>
          <w:tcPr>
            <w:tcW w:w="6480" w:type="dxa"/>
            <w:tcBorders/>
            <w:tcMar>
              <w:start w:w="108" w:type="dxa"/>
              <w:end w:w="108" w:type="dxa"/>
            </w:tcMar>
          </w:tcPr>
          <w:p>
            <w:pPr>
              <w:pStyle w:val="Normal"/>
              <w:snapToGrid w:val="false"/>
              <w:rPr>
                <w:i/>
                <w:i/>
                <w:sz w:val="22"/>
              </w:rPr>
            </w:pPr>
            <w:r>
              <w:rPr>
                <w:i/>
                <w:sz w:val="22"/>
              </w:rPr>
            </w:r>
          </w:p>
        </w:tc>
      </w:tr>
      <w:tr>
        <w:trPr/>
        <w:tc>
          <w:tcPr>
            <w:tcW w:w="270" w:type="dxa"/>
            <w:gridSpan w:val="2"/>
            <w:tcBorders/>
          </w:tcPr>
          <w:p>
            <w:pPr>
              <w:pStyle w:val="Normal"/>
              <w:rPr>
                <w:sz w:val="22"/>
              </w:rPr>
            </w:pPr>
            <w:r>
              <w:rPr>
                <w:sz w:val="22"/>
              </w:rPr>
            </w:r>
          </w:p>
        </w:tc>
        <w:tc>
          <w:tcPr>
            <w:tcW w:w="4050" w:type="dxa"/>
            <w:gridSpan w:val="3"/>
            <w:tcBorders/>
            <w:tcMar>
              <w:start w:w="108" w:type="dxa"/>
              <w:end w:w="108" w:type="dxa"/>
            </w:tcMar>
          </w:tcPr>
          <w:p>
            <w:pPr>
              <w:pStyle w:val="Normal"/>
              <w:rPr>
                <w:i/>
                <w:i/>
                <w:sz w:val="22"/>
              </w:rPr>
            </w:pPr>
            <w:r>
              <w:rPr>
                <w:i/>
                <w:sz w:val="22"/>
              </w:rPr>
              <w:t>Revolving Prepaid Committed Facility:</w:t>
            </w:r>
          </w:p>
        </w:tc>
        <w:tc>
          <w:tcPr>
            <w:tcW w:w="6480" w:type="dxa"/>
            <w:tcBorders/>
            <w:tcMar>
              <w:start w:w="108" w:type="dxa"/>
              <w:end w:w="108" w:type="dxa"/>
            </w:tcMar>
          </w:tcPr>
          <w:p>
            <w:pPr>
              <w:pStyle w:val="Normal"/>
              <w:rPr>
                <w:sz w:val="22"/>
              </w:rPr>
            </w:pPr>
            <w:r>
              <w:rPr>
                <w:sz w:val="22"/>
              </w:rPr>
              <w:t xml:space="preserve">Citibank will enter into a commitment facility to provide from time to time to Enron 90 day prepaid oil swaps in an aggregate amount at any one time and from time to time equal to the Prepaid Notional Amount.  Under the Revolving Prepaid Committed Facility Citibank will be obligated to, upon delivery of a notice by Enron substantially in the form of Annex A hereto (each a “Revolving Prepaid Execution Notice”) and satisfaction of certain conditions precedent, advance to Enron, an amount up to the Prepaid Notional Amount less an upfront cap premium (the “Cap Premium”), in exchange for a capped floating barrel obligation payable 90 days thereafter.  </w:t>
            </w:r>
          </w:p>
          <w:p>
            <w:pPr>
              <w:pStyle w:val="Normal"/>
              <w:rPr>
                <w:sz w:val="22"/>
              </w:rPr>
            </w:pPr>
            <w:r>
              <w:rPr>
                <w:sz w:val="22"/>
              </w:rPr>
            </w:r>
          </w:p>
          <w:p>
            <w:pPr>
              <w:pStyle w:val="Normal"/>
              <w:rPr>
                <w:sz w:val="22"/>
              </w:rPr>
            </w:pPr>
            <w:r>
              <w:rPr>
                <w:sz w:val="22"/>
              </w:rPr>
              <w:t>Citibank’s obligation to implement a prepaid oil swap under the Revolving Prepaid Committed Facility will be contingent upon receipt at the time of execution of such swap of executed Credit Default Swap Confirmations delivered in accordance with the terms of the CDS Committed Facility with a notional amount equal to the Notional Amount of such prepaid oil swap.</w:t>
            </w:r>
          </w:p>
          <w:p>
            <w:pPr>
              <w:pStyle w:val="Normal"/>
              <w:rPr>
                <w:sz w:val="22"/>
              </w:rPr>
            </w:pPr>
            <w:r>
              <w:rPr>
                <w:sz w:val="22"/>
              </w:rPr>
            </w:r>
          </w:p>
          <w:p>
            <w:pPr>
              <w:pStyle w:val="Normal"/>
              <w:rPr>
                <w:sz w:val="22"/>
              </w:rPr>
            </w:pPr>
            <w:r>
              <w:rPr>
                <w:sz w:val="22"/>
              </w:rPr>
            </w:r>
          </w:p>
        </w:tc>
      </w:tr>
      <w:tr>
        <w:trPr/>
        <w:tc>
          <w:tcPr>
            <w:tcW w:w="270" w:type="dxa"/>
            <w:gridSpan w:val="2"/>
            <w:tcBorders/>
          </w:tcPr>
          <w:p>
            <w:pPr>
              <w:pStyle w:val="Normal"/>
              <w:rPr>
                <w:sz w:val="22"/>
              </w:rPr>
            </w:pPr>
            <w:r>
              <w:rPr>
                <w:sz w:val="22"/>
              </w:rPr>
            </w:r>
          </w:p>
        </w:tc>
        <w:tc>
          <w:tcPr>
            <w:tcW w:w="4050" w:type="dxa"/>
            <w:gridSpan w:val="3"/>
            <w:tcBorders/>
            <w:tcMar>
              <w:start w:w="108" w:type="dxa"/>
              <w:end w:w="108" w:type="dxa"/>
            </w:tcMar>
          </w:tcPr>
          <w:p>
            <w:pPr>
              <w:pStyle w:val="Normal"/>
              <w:snapToGrid w:val="false"/>
              <w:rPr>
                <w:i/>
                <w:i/>
                <w:sz w:val="22"/>
              </w:rPr>
            </w:pPr>
            <w:r>
              <w:rPr>
                <w:i/>
                <w:sz w:val="22"/>
              </w:rPr>
            </w:r>
          </w:p>
        </w:tc>
        <w:tc>
          <w:tcPr>
            <w:tcW w:w="6480" w:type="dxa"/>
            <w:tcBorders/>
            <w:tcMar>
              <w:start w:w="108" w:type="dxa"/>
              <w:end w:w="108" w:type="dxa"/>
            </w:tcMar>
          </w:tcPr>
          <w:p>
            <w:pPr>
              <w:pStyle w:val="Normal"/>
              <w:snapToGrid w:val="false"/>
              <w:rPr>
                <w:i/>
                <w:i/>
                <w:sz w:val="22"/>
              </w:rPr>
            </w:pPr>
            <w:r>
              <w:rPr>
                <w:i/>
                <w:sz w:val="22"/>
              </w:rPr>
            </w:r>
          </w:p>
        </w:tc>
      </w:tr>
      <w:tr>
        <w:trPr/>
        <w:tc>
          <w:tcPr>
            <w:tcW w:w="270" w:type="dxa"/>
            <w:gridSpan w:val="2"/>
            <w:tcBorders/>
          </w:tcPr>
          <w:p>
            <w:pPr>
              <w:pStyle w:val="Normal"/>
              <w:rPr>
                <w:sz w:val="22"/>
              </w:rPr>
            </w:pPr>
            <w:r>
              <w:rPr>
                <w:sz w:val="22"/>
              </w:rPr>
            </w:r>
          </w:p>
        </w:tc>
        <w:tc>
          <w:tcPr>
            <w:tcW w:w="4050" w:type="dxa"/>
            <w:gridSpan w:val="3"/>
            <w:tcBorders/>
            <w:tcMar>
              <w:start w:w="108" w:type="dxa"/>
              <w:end w:w="108" w:type="dxa"/>
            </w:tcMar>
          </w:tcPr>
          <w:p>
            <w:pPr>
              <w:pStyle w:val="Normal"/>
              <w:rPr>
                <w:i/>
                <w:i/>
                <w:sz w:val="22"/>
              </w:rPr>
            </w:pPr>
            <w:r>
              <w:rPr>
                <w:i/>
                <w:sz w:val="22"/>
              </w:rPr>
              <w:t>Prepaid Notional Amount:</w:t>
            </w:r>
          </w:p>
        </w:tc>
        <w:tc>
          <w:tcPr>
            <w:tcW w:w="6480" w:type="dxa"/>
            <w:tcBorders/>
            <w:tcMar>
              <w:start w:w="108" w:type="dxa"/>
              <w:end w:w="108" w:type="dxa"/>
            </w:tcMar>
          </w:tcPr>
          <w:p>
            <w:pPr>
              <w:pStyle w:val="Normal"/>
              <w:rPr>
                <w:sz w:val="22"/>
              </w:rPr>
            </w:pPr>
            <w:r>
              <w:rPr>
                <w:sz w:val="22"/>
              </w:rPr>
              <w:t>$[500] million</w:t>
            </w:r>
          </w:p>
        </w:tc>
      </w:tr>
      <w:tr>
        <w:trPr/>
        <w:tc>
          <w:tcPr>
            <w:tcW w:w="270" w:type="dxa"/>
            <w:gridSpan w:val="2"/>
            <w:tcBorders/>
          </w:tcPr>
          <w:p>
            <w:pPr>
              <w:pStyle w:val="Normal"/>
              <w:rPr>
                <w:sz w:val="22"/>
              </w:rPr>
            </w:pPr>
            <w:r>
              <w:rPr>
                <w:sz w:val="22"/>
              </w:rPr>
            </w:r>
          </w:p>
        </w:tc>
        <w:tc>
          <w:tcPr>
            <w:tcW w:w="4050" w:type="dxa"/>
            <w:gridSpan w:val="3"/>
            <w:tcBorders/>
            <w:tcMar>
              <w:start w:w="108" w:type="dxa"/>
              <w:end w:w="108" w:type="dxa"/>
            </w:tcMar>
          </w:tcPr>
          <w:p>
            <w:pPr>
              <w:pStyle w:val="Normal"/>
              <w:snapToGrid w:val="false"/>
              <w:rPr>
                <w:i/>
                <w:i/>
                <w:sz w:val="22"/>
              </w:rPr>
            </w:pPr>
            <w:r>
              <w:rPr>
                <w:i/>
                <w:sz w:val="22"/>
              </w:rPr>
            </w:r>
          </w:p>
        </w:tc>
        <w:tc>
          <w:tcPr>
            <w:tcW w:w="6480" w:type="dxa"/>
            <w:tcBorders/>
            <w:tcMar>
              <w:start w:w="108" w:type="dxa"/>
              <w:end w:w="108" w:type="dxa"/>
            </w:tcMar>
          </w:tcPr>
          <w:p>
            <w:pPr>
              <w:pStyle w:val="Normal"/>
              <w:snapToGrid w:val="false"/>
              <w:rPr>
                <w:i/>
                <w:i/>
                <w:sz w:val="22"/>
              </w:rPr>
            </w:pPr>
            <w:r>
              <w:rPr>
                <w:i/>
                <w:sz w:val="22"/>
              </w:rPr>
            </w:r>
          </w:p>
        </w:tc>
      </w:tr>
      <w:tr>
        <w:trPr/>
        <w:tc>
          <w:tcPr>
            <w:tcW w:w="270" w:type="dxa"/>
            <w:gridSpan w:val="2"/>
            <w:tcBorders/>
          </w:tcPr>
          <w:p>
            <w:pPr>
              <w:pStyle w:val="Normal"/>
              <w:rPr>
                <w:sz w:val="22"/>
              </w:rPr>
            </w:pPr>
            <w:r>
              <w:rPr>
                <w:sz w:val="22"/>
              </w:rPr>
            </w:r>
          </w:p>
        </w:tc>
        <w:tc>
          <w:tcPr>
            <w:tcW w:w="4050" w:type="dxa"/>
            <w:gridSpan w:val="3"/>
            <w:tcBorders/>
            <w:tcMar>
              <w:start w:w="108" w:type="dxa"/>
              <w:end w:w="108" w:type="dxa"/>
            </w:tcMar>
          </w:tcPr>
          <w:p>
            <w:pPr>
              <w:pStyle w:val="Normal"/>
              <w:rPr>
                <w:i/>
                <w:i/>
                <w:sz w:val="22"/>
              </w:rPr>
            </w:pPr>
            <w:r>
              <w:rPr>
                <w:i/>
                <w:sz w:val="22"/>
              </w:rPr>
              <w:t>Commitment Fee:</w:t>
            </w:r>
          </w:p>
        </w:tc>
        <w:tc>
          <w:tcPr>
            <w:tcW w:w="6480" w:type="dxa"/>
            <w:tcBorders/>
            <w:tcMar>
              <w:start w:w="108" w:type="dxa"/>
              <w:end w:w="108" w:type="dxa"/>
            </w:tcMar>
          </w:tcPr>
          <w:p>
            <w:pPr>
              <w:pStyle w:val="Normal"/>
              <w:rPr>
                <w:sz w:val="22"/>
              </w:rPr>
            </w:pPr>
            <w:r>
              <w:rPr>
                <w:sz w:val="22"/>
              </w:rPr>
              <w:t>Enron will pay to Citibank a commitment fee equal to [   ] bp per annum on the Prepaid Notional Amount from the Closing Date to the Revolving Prepaid Committed Facility Scheduled Termination Date.</w:t>
            </w:r>
          </w:p>
        </w:tc>
      </w:tr>
      <w:tr>
        <w:trPr/>
        <w:tc>
          <w:tcPr>
            <w:tcW w:w="270" w:type="dxa"/>
            <w:gridSpan w:val="2"/>
            <w:tcBorders/>
          </w:tcPr>
          <w:p>
            <w:pPr>
              <w:pStyle w:val="Normal"/>
              <w:rPr>
                <w:sz w:val="22"/>
              </w:rPr>
            </w:pPr>
            <w:r>
              <w:rPr>
                <w:sz w:val="22"/>
              </w:rPr>
            </w:r>
          </w:p>
        </w:tc>
        <w:tc>
          <w:tcPr>
            <w:tcW w:w="4050" w:type="dxa"/>
            <w:gridSpan w:val="3"/>
            <w:tcBorders/>
            <w:tcMar>
              <w:start w:w="108" w:type="dxa"/>
              <w:end w:w="108" w:type="dxa"/>
            </w:tcMar>
          </w:tcPr>
          <w:p>
            <w:pPr>
              <w:pStyle w:val="Normal"/>
              <w:snapToGrid w:val="false"/>
              <w:rPr>
                <w:i/>
                <w:i/>
                <w:sz w:val="22"/>
              </w:rPr>
            </w:pPr>
            <w:r>
              <w:rPr>
                <w:i/>
                <w:sz w:val="22"/>
              </w:rPr>
            </w:r>
          </w:p>
        </w:tc>
        <w:tc>
          <w:tcPr>
            <w:tcW w:w="6480" w:type="dxa"/>
            <w:tcBorders/>
            <w:tcMar>
              <w:start w:w="108" w:type="dxa"/>
              <w:end w:w="108" w:type="dxa"/>
            </w:tcMar>
          </w:tcPr>
          <w:p>
            <w:pPr>
              <w:pStyle w:val="Normal"/>
              <w:snapToGrid w:val="false"/>
              <w:rPr>
                <w:i/>
                <w:i/>
                <w:sz w:val="22"/>
              </w:rPr>
            </w:pPr>
            <w:r>
              <w:rPr>
                <w:i/>
                <w:sz w:val="22"/>
              </w:rPr>
            </w:r>
          </w:p>
        </w:tc>
      </w:tr>
      <w:tr>
        <w:trPr/>
        <w:tc>
          <w:tcPr>
            <w:tcW w:w="270" w:type="dxa"/>
            <w:gridSpan w:val="2"/>
            <w:tcBorders/>
          </w:tcPr>
          <w:p>
            <w:pPr>
              <w:pStyle w:val="Normal"/>
              <w:rPr>
                <w:sz w:val="22"/>
              </w:rPr>
            </w:pPr>
            <w:r>
              <w:rPr>
                <w:sz w:val="22"/>
              </w:rPr>
            </w:r>
          </w:p>
        </w:tc>
        <w:tc>
          <w:tcPr>
            <w:tcW w:w="4050" w:type="dxa"/>
            <w:gridSpan w:val="3"/>
            <w:tcBorders/>
            <w:tcMar>
              <w:start w:w="108" w:type="dxa"/>
              <w:end w:w="108" w:type="dxa"/>
            </w:tcMar>
          </w:tcPr>
          <w:p>
            <w:pPr>
              <w:pStyle w:val="Normal"/>
              <w:rPr>
                <w:i/>
                <w:i/>
                <w:sz w:val="22"/>
              </w:rPr>
            </w:pPr>
            <w:r>
              <w:rPr>
                <w:i/>
                <w:sz w:val="22"/>
              </w:rPr>
              <w:t>Revolving Prepaid Committed Facility Scheduled Termination Date:</w:t>
            </w:r>
          </w:p>
        </w:tc>
        <w:tc>
          <w:tcPr>
            <w:tcW w:w="6480" w:type="dxa"/>
            <w:tcBorders/>
            <w:tcMar>
              <w:start w:w="108" w:type="dxa"/>
              <w:end w:w="108" w:type="dxa"/>
            </w:tcMar>
          </w:tcPr>
          <w:p>
            <w:pPr>
              <w:pStyle w:val="Normal"/>
              <w:rPr>
                <w:sz w:val="22"/>
              </w:rPr>
            </w:pPr>
            <w:r>
              <w:rPr>
                <w:sz w:val="22"/>
              </w:rPr>
              <w:t>[3 years after execution of the commitment facility]</w:t>
            </w:r>
          </w:p>
        </w:tc>
      </w:tr>
      <w:tr>
        <w:trPr/>
        <w:tc>
          <w:tcPr>
            <w:tcW w:w="270" w:type="dxa"/>
            <w:gridSpan w:val="2"/>
            <w:tcBorders/>
          </w:tcPr>
          <w:p>
            <w:pPr>
              <w:pStyle w:val="Normal"/>
              <w:rPr>
                <w:sz w:val="22"/>
              </w:rPr>
            </w:pPr>
            <w:r>
              <w:rPr>
                <w:sz w:val="22"/>
              </w:rPr>
            </w:r>
          </w:p>
        </w:tc>
        <w:tc>
          <w:tcPr>
            <w:tcW w:w="4050" w:type="dxa"/>
            <w:gridSpan w:val="3"/>
            <w:tcBorders/>
            <w:tcMar>
              <w:start w:w="108" w:type="dxa"/>
              <w:end w:w="108" w:type="dxa"/>
            </w:tcMar>
          </w:tcPr>
          <w:p>
            <w:pPr>
              <w:pStyle w:val="Normal"/>
              <w:snapToGrid w:val="false"/>
              <w:rPr>
                <w:i/>
                <w:i/>
                <w:sz w:val="22"/>
              </w:rPr>
            </w:pPr>
            <w:r>
              <w:rPr>
                <w:i/>
                <w:sz w:val="22"/>
              </w:rPr>
            </w:r>
          </w:p>
        </w:tc>
        <w:tc>
          <w:tcPr>
            <w:tcW w:w="6480" w:type="dxa"/>
            <w:tcBorders/>
            <w:tcMar>
              <w:start w:w="108" w:type="dxa"/>
              <w:end w:w="108" w:type="dxa"/>
            </w:tcMar>
          </w:tcPr>
          <w:p>
            <w:pPr>
              <w:pStyle w:val="Normal"/>
              <w:snapToGrid w:val="false"/>
              <w:rPr>
                <w:i/>
                <w:i/>
                <w:sz w:val="22"/>
              </w:rPr>
            </w:pPr>
            <w:r>
              <w:rPr>
                <w:i/>
                <w:sz w:val="22"/>
              </w:rPr>
            </w:r>
          </w:p>
        </w:tc>
      </w:tr>
      <w:tr>
        <w:trPr/>
        <w:tc>
          <w:tcPr>
            <w:tcW w:w="270" w:type="dxa"/>
            <w:gridSpan w:val="2"/>
            <w:tcBorders/>
          </w:tcPr>
          <w:p>
            <w:pPr>
              <w:pStyle w:val="Normal"/>
              <w:rPr>
                <w:sz w:val="22"/>
              </w:rPr>
            </w:pPr>
            <w:r>
              <w:rPr>
                <w:sz w:val="22"/>
              </w:rPr>
            </w:r>
          </w:p>
        </w:tc>
        <w:tc>
          <w:tcPr>
            <w:tcW w:w="4050" w:type="dxa"/>
            <w:gridSpan w:val="3"/>
            <w:tcBorders/>
            <w:tcMar>
              <w:start w:w="108" w:type="dxa"/>
              <w:end w:w="108" w:type="dxa"/>
            </w:tcMar>
          </w:tcPr>
          <w:p>
            <w:pPr>
              <w:pStyle w:val="Normal"/>
              <w:rPr>
                <w:i/>
                <w:i/>
                <w:sz w:val="22"/>
              </w:rPr>
            </w:pPr>
            <w:r>
              <w:rPr>
                <w:i/>
                <w:sz w:val="22"/>
              </w:rPr>
              <w:t>Performance Under the Revolving Prepaid Committed Faciltiy:</w:t>
            </w:r>
          </w:p>
        </w:tc>
        <w:tc>
          <w:tcPr>
            <w:tcW w:w="6480" w:type="dxa"/>
            <w:tcBorders/>
            <w:tcMar>
              <w:start w:w="108" w:type="dxa"/>
              <w:end w:w="108" w:type="dxa"/>
            </w:tcMar>
          </w:tcPr>
          <w:p>
            <w:pPr>
              <w:pStyle w:val="Normal"/>
              <w:rPr>
                <w:sz w:val="22"/>
              </w:rPr>
            </w:pPr>
            <w:r>
              <w:rPr>
                <w:sz w:val="22"/>
              </w:rPr>
              <w:t xml:space="preserve">Upon delivery by Enron of a Revolving Prepaid Execution Notice </w:t>
            </w:r>
          </w:p>
          <w:p>
            <w:pPr>
              <w:pStyle w:val="Normal"/>
              <w:rPr>
                <w:sz w:val="22"/>
              </w:rPr>
            </w:pPr>
            <w:r>
              <w:rPr>
                <w:sz w:val="22"/>
              </w:rPr>
              <w:t>[   ] Business Days prior to the proposed Trade Date specifying the following, Citibank will deliver to one or more Banks a Notice Requesting Execution of a Credit Default Swap and related Confirmation:</w:t>
            </w:r>
          </w:p>
          <w:p>
            <w:pPr>
              <w:pStyle w:val="Normal"/>
              <w:rPr>
                <w:sz w:val="22"/>
              </w:rPr>
            </w:pPr>
            <w:r>
              <w:rPr>
                <w:sz w:val="22"/>
              </w:rPr>
            </w:r>
          </w:p>
          <w:p>
            <w:pPr>
              <w:pStyle w:val="Normal"/>
              <w:numPr>
                <w:ilvl w:val="0"/>
                <w:numId w:val="4"/>
              </w:numPr>
              <w:rPr>
                <w:sz w:val="22"/>
              </w:rPr>
            </w:pPr>
            <w:r>
              <w:rPr>
                <w:sz w:val="22"/>
              </w:rPr>
              <w:t>the notional amount of the requested prepaid transaction;</w:t>
            </w:r>
          </w:p>
          <w:p>
            <w:pPr>
              <w:pStyle w:val="Normal"/>
              <w:numPr>
                <w:ilvl w:val="0"/>
                <w:numId w:val="4"/>
              </w:numPr>
              <w:rPr>
                <w:sz w:val="22"/>
              </w:rPr>
            </w:pPr>
            <w:r>
              <w:rPr>
                <w:sz w:val="22"/>
              </w:rPr>
              <w:t>the trade date and the effective date;</w:t>
            </w:r>
          </w:p>
          <w:p>
            <w:pPr>
              <w:pStyle w:val="Normal"/>
              <w:numPr>
                <w:ilvl w:val="0"/>
                <w:numId w:val="4"/>
              </w:numPr>
              <w:rPr>
                <w:sz w:val="22"/>
              </w:rPr>
            </w:pPr>
            <w:r>
              <w:rPr>
                <w:sz w:val="22"/>
              </w:rPr>
              <w:t>the scheduled termination date; and</w:t>
            </w:r>
          </w:p>
          <w:p>
            <w:pPr>
              <w:pStyle w:val="Normal"/>
              <w:numPr>
                <w:ilvl w:val="0"/>
                <w:numId w:val="4"/>
              </w:numPr>
              <w:rPr>
                <w:sz w:val="22"/>
              </w:rPr>
            </w:pPr>
            <w:r>
              <w:rPr>
                <w:sz w:val="22"/>
              </w:rPr>
              <w:t>the payment dates.</w:t>
            </w:r>
          </w:p>
          <w:p>
            <w:pPr>
              <w:pStyle w:val="Normal"/>
              <w:rPr>
                <w:sz w:val="22"/>
              </w:rPr>
            </w:pPr>
            <w:r>
              <w:rPr>
                <w:sz w:val="22"/>
              </w:rPr>
            </w:r>
          </w:p>
          <w:p>
            <w:pPr>
              <w:pStyle w:val="Normal"/>
              <w:rPr>
                <w:sz w:val="22"/>
              </w:rPr>
            </w:pPr>
            <w:r>
              <w:rPr>
                <w:sz w:val="22"/>
              </w:rPr>
              <w:t>Additionally, upon delivery by Enron of a Revolving Prepaid Execution Notice and receipt of the requisite executed Credit Default Swap Confirmations, Citibank will deliver the Revolving Prepaid Pricing Supplement and the Enron Floor Pricing Supplement simultaneously with delivery by Enron of the Delta Floor Pricing Supplement (collectively, the “Prepaid Pricing Supplements”) (each in a form substantially similar to Annex B hereto) to Enron specifying the details of the requested prepaid transaction, including, without limitation:</w:t>
            </w:r>
          </w:p>
          <w:p>
            <w:pPr>
              <w:pStyle w:val="Normal"/>
              <w:rPr>
                <w:sz w:val="22"/>
              </w:rPr>
            </w:pPr>
            <w:r>
              <w:rPr>
                <w:sz w:val="22"/>
              </w:rPr>
            </w:r>
          </w:p>
          <w:p>
            <w:pPr>
              <w:pStyle w:val="Normal"/>
              <w:numPr>
                <w:ilvl w:val="0"/>
                <w:numId w:val="2"/>
              </w:numPr>
              <w:rPr>
                <w:sz w:val="22"/>
              </w:rPr>
            </w:pPr>
            <w:r>
              <w:rPr>
                <w:sz w:val="22"/>
              </w:rPr>
              <w:t>the Cap Premium;</w:t>
            </w:r>
          </w:p>
          <w:p>
            <w:pPr>
              <w:pStyle w:val="Normal"/>
              <w:numPr>
                <w:ilvl w:val="0"/>
                <w:numId w:val="2"/>
              </w:numPr>
              <w:rPr>
                <w:sz w:val="22"/>
              </w:rPr>
            </w:pPr>
            <w:r>
              <w:rPr>
                <w:sz w:val="22"/>
              </w:rPr>
              <w:t>the number of barrels of oil;</w:t>
            </w:r>
          </w:p>
          <w:p>
            <w:pPr>
              <w:pStyle w:val="Normal"/>
              <w:numPr>
                <w:ilvl w:val="0"/>
                <w:numId w:val="2"/>
              </w:numPr>
              <w:rPr>
                <w:sz w:val="22"/>
              </w:rPr>
            </w:pPr>
            <w:r>
              <w:rPr>
                <w:sz w:val="22"/>
              </w:rPr>
              <w:t>the price per barrel of oil;</w:t>
            </w:r>
          </w:p>
          <w:p>
            <w:pPr>
              <w:pStyle w:val="Normal"/>
              <w:numPr>
                <w:ilvl w:val="0"/>
                <w:numId w:val="2"/>
              </w:numPr>
              <w:rPr>
                <w:sz w:val="22"/>
              </w:rPr>
            </w:pPr>
            <w:r>
              <w:rPr>
                <w:sz w:val="22"/>
              </w:rPr>
              <w:t xml:space="preserve">the trade date, the effective date and the scheduled termination date; and </w:t>
            </w:r>
          </w:p>
          <w:p>
            <w:pPr>
              <w:pStyle w:val="Normal"/>
              <w:numPr>
                <w:ilvl w:val="0"/>
                <w:numId w:val="2"/>
              </w:numPr>
              <w:rPr>
                <w:sz w:val="22"/>
              </w:rPr>
            </w:pPr>
            <w:r>
              <w:rPr>
                <w:sz w:val="22"/>
              </w:rPr>
              <w:t>the cap/floor price, as applicable.</w:t>
            </w:r>
          </w:p>
          <w:p>
            <w:pPr>
              <w:pStyle w:val="Normal"/>
              <w:rPr>
                <w:sz w:val="22"/>
              </w:rPr>
            </w:pPr>
            <w:r>
              <w:rPr>
                <w:sz w:val="22"/>
              </w:rPr>
            </w:r>
          </w:p>
          <w:p>
            <w:pPr>
              <w:pStyle w:val="Normal"/>
              <w:rPr>
                <w:sz w:val="22"/>
              </w:rPr>
            </w:pPr>
            <w:r>
              <w:rPr>
                <w:sz w:val="22"/>
              </w:rPr>
              <w:t>Citibank will execute the Revolving Prepaid Pricing Supplement and the Enron Floor Pricing Supplement upon receipt of the executed Credit Default Swap Confirmation(s) from one or more Banks.  Enron and Delta will execute the Delta Floor Pricing Supplement.</w:t>
            </w:r>
          </w:p>
        </w:tc>
      </w:tr>
      <w:tr>
        <w:trPr/>
        <w:tc>
          <w:tcPr>
            <w:tcW w:w="270" w:type="dxa"/>
            <w:gridSpan w:val="2"/>
            <w:tcBorders/>
          </w:tcPr>
          <w:p>
            <w:pPr>
              <w:pStyle w:val="Normal"/>
              <w:rPr>
                <w:sz w:val="22"/>
              </w:rPr>
            </w:pPr>
            <w:r>
              <w:rPr>
                <w:sz w:val="22"/>
              </w:rPr>
            </w:r>
          </w:p>
        </w:tc>
        <w:tc>
          <w:tcPr>
            <w:tcW w:w="4050" w:type="dxa"/>
            <w:gridSpan w:val="3"/>
            <w:tcBorders/>
            <w:tcMar>
              <w:start w:w="108" w:type="dxa"/>
              <w:end w:w="108" w:type="dxa"/>
            </w:tcMar>
          </w:tcPr>
          <w:p>
            <w:pPr>
              <w:pStyle w:val="Normal"/>
              <w:snapToGrid w:val="false"/>
              <w:rPr>
                <w:i/>
                <w:i/>
                <w:sz w:val="22"/>
              </w:rPr>
            </w:pPr>
            <w:r>
              <w:rPr>
                <w:i/>
                <w:sz w:val="22"/>
              </w:rPr>
            </w:r>
          </w:p>
        </w:tc>
        <w:tc>
          <w:tcPr>
            <w:tcW w:w="6480" w:type="dxa"/>
            <w:tcBorders/>
            <w:tcMar>
              <w:start w:w="108" w:type="dxa"/>
              <w:end w:w="108" w:type="dxa"/>
            </w:tcMar>
          </w:tcPr>
          <w:p>
            <w:pPr>
              <w:pStyle w:val="Normal"/>
              <w:snapToGrid w:val="false"/>
              <w:rPr>
                <w:i/>
                <w:i/>
                <w:sz w:val="22"/>
              </w:rPr>
            </w:pPr>
            <w:r>
              <w:rPr>
                <w:i/>
                <w:sz w:val="22"/>
              </w:rPr>
            </w:r>
          </w:p>
        </w:tc>
      </w:tr>
      <w:tr>
        <w:trPr/>
        <w:tc>
          <w:tcPr>
            <w:tcW w:w="270" w:type="dxa"/>
            <w:gridSpan w:val="2"/>
            <w:tcBorders/>
          </w:tcPr>
          <w:p>
            <w:pPr>
              <w:pStyle w:val="Normal"/>
              <w:rPr>
                <w:sz w:val="22"/>
              </w:rPr>
            </w:pPr>
            <w:r>
              <w:rPr>
                <w:sz w:val="22"/>
              </w:rPr>
            </w:r>
          </w:p>
        </w:tc>
        <w:tc>
          <w:tcPr>
            <w:tcW w:w="4050" w:type="dxa"/>
            <w:gridSpan w:val="3"/>
            <w:tcBorders/>
            <w:tcMar>
              <w:start w:w="108" w:type="dxa"/>
              <w:end w:w="108" w:type="dxa"/>
            </w:tcMar>
          </w:tcPr>
          <w:p>
            <w:pPr>
              <w:pStyle w:val="Normal"/>
              <w:rPr>
                <w:i/>
                <w:i/>
                <w:sz w:val="22"/>
              </w:rPr>
            </w:pPr>
            <w:r>
              <w:rPr>
                <w:i/>
                <w:sz w:val="22"/>
              </w:rPr>
              <w:t>Conditions Precedent to Performance the Revolving Prepaid Committed Facility:</w:t>
            </w:r>
          </w:p>
        </w:tc>
        <w:tc>
          <w:tcPr>
            <w:tcW w:w="6480" w:type="dxa"/>
            <w:tcBorders/>
            <w:tcMar>
              <w:start w:w="108" w:type="dxa"/>
              <w:end w:w="108" w:type="dxa"/>
            </w:tcMar>
          </w:tcPr>
          <w:p>
            <w:pPr>
              <w:pStyle w:val="Normal"/>
              <w:rPr>
                <w:sz w:val="22"/>
              </w:rPr>
            </w:pPr>
            <w:r>
              <w:rPr>
                <w:sz w:val="22"/>
              </w:rPr>
              <w:t>Prior to the execution of a prepaid oil swap under the Revolving Prepaid Committed Facility, Enron must satisfy conditions precedent substantially similar to those contained in its existing revolving credit facility; such satisfaction to be determined at Citibank’s sole discretion.</w:t>
            </w:r>
          </w:p>
          <w:p>
            <w:pPr>
              <w:pStyle w:val="Normal"/>
              <w:rPr>
                <w:sz w:val="22"/>
              </w:rPr>
            </w:pPr>
            <w:r>
              <w:rPr>
                <w:sz w:val="22"/>
              </w:rPr>
            </w:r>
          </w:p>
        </w:tc>
      </w:tr>
      <w:tr>
        <w:trPr/>
        <w:tc>
          <w:tcPr>
            <w:tcW w:w="270" w:type="dxa"/>
            <w:gridSpan w:val="2"/>
            <w:tcBorders/>
          </w:tcPr>
          <w:p>
            <w:pPr>
              <w:pStyle w:val="Normal"/>
              <w:rPr>
                <w:sz w:val="22"/>
              </w:rPr>
            </w:pPr>
            <w:r>
              <w:rPr>
                <w:sz w:val="22"/>
              </w:rPr>
            </w:r>
          </w:p>
        </w:tc>
        <w:tc>
          <w:tcPr>
            <w:tcW w:w="4050" w:type="dxa"/>
            <w:gridSpan w:val="3"/>
            <w:tcBorders/>
            <w:tcMar>
              <w:start w:w="108" w:type="dxa"/>
              <w:end w:w="108" w:type="dxa"/>
            </w:tcMar>
          </w:tcPr>
          <w:p>
            <w:pPr>
              <w:pStyle w:val="Normal"/>
              <w:snapToGrid w:val="false"/>
              <w:rPr>
                <w:i/>
                <w:i/>
                <w:sz w:val="22"/>
              </w:rPr>
            </w:pPr>
            <w:r>
              <w:rPr>
                <w:i/>
                <w:sz w:val="22"/>
              </w:rPr>
            </w:r>
          </w:p>
        </w:tc>
        <w:tc>
          <w:tcPr>
            <w:tcW w:w="6480" w:type="dxa"/>
            <w:tcBorders/>
            <w:tcMar>
              <w:start w:w="108" w:type="dxa"/>
              <w:end w:w="108" w:type="dxa"/>
            </w:tcMar>
          </w:tcPr>
          <w:p>
            <w:pPr>
              <w:pStyle w:val="Normal"/>
              <w:snapToGrid w:val="false"/>
              <w:rPr>
                <w:i/>
                <w:i/>
                <w:sz w:val="22"/>
              </w:rPr>
            </w:pPr>
            <w:r>
              <w:rPr>
                <w:i/>
                <w:sz w:val="22"/>
              </w:rPr>
            </w:r>
          </w:p>
        </w:tc>
      </w:tr>
      <w:tr>
        <w:trPr/>
        <w:tc>
          <w:tcPr>
            <w:tcW w:w="270" w:type="dxa"/>
            <w:gridSpan w:val="2"/>
            <w:tcBorders/>
          </w:tcPr>
          <w:p>
            <w:pPr>
              <w:pStyle w:val="Normal"/>
              <w:rPr>
                <w:sz w:val="22"/>
              </w:rPr>
            </w:pPr>
            <w:r>
              <w:rPr>
                <w:sz w:val="22"/>
              </w:rPr>
            </w:r>
          </w:p>
        </w:tc>
        <w:tc>
          <w:tcPr>
            <w:tcW w:w="4050" w:type="dxa"/>
            <w:gridSpan w:val="3"/>
            <w:tcBorders/>
            <w:tcMar>
              <w:start w:w="108" w:type="dxa"/>
              <w:end w:w="108" w:type="dxa"/>
            </w:tcMar>
          </w:tcPr>
          <w:p>
            <w:pPr>
              <w:pStyle w:val="Normal"/>
              <w:rPr>
                <w:i/>
                <w:i/>
                <w:sz w:val="22"/>
              </w:rPr>
            </w:pPr>
            <w:r>
              <w:rPr>
                <w:i/>
                <w:sz w:val="22"/>
              </w:rPr>
              <w:t>Default Events under the Revolving Prepaid Facility:</w:t>
            </w:r>
          </w:p>
        </w:tc>
        <w:tc>
          <w:tcPr>
            <w:tcW w:w="6480" w:type="dxa"/>
            <w:tcBorders/>
            <w:tcMar>
              <w:start w:w="108" w:type="dxa"/>
              <w:end w:w="108" w:type="dxa"/>
            </w:tcMar>
          </w:tcPr>
          <w:p>
            <w:pPr>
              <w:pStyle w:val="Normal"/>
              <w:rPr>
                <w:sz w:val="22"/>
              </w:rPr>
            </w:pPr>
            <w:r>
              <w:rPr>
                <w:sz w:val="22"/>
                <w:u w:val="single"/>
              </w:rPr>
              <w:t>Enron Default Events:</w:t>
            </w:r>
          </w:p>
          <w:p>
            <w:pPr>
              <w:pStyle w:val="Normal"/>
              <w:rPr>
                <w:sz w:val="22"/>
              </w:rPr>
            </w:pPr>
            <w:r>
              <w:rPr>
                <w:sz w:val="22"/>
              </w:rPr>
            </w:r>
          </w:p>
          <w:p>
            <w:pPr>
              <w:pStyle w:val="Normal"/>
              <w:rPr>
                <w:sz w:val="22"/>
              </w:rPr>
            </w:pPr>
            <w:r>
              <w:rPr>
                <w:sz w:val="22"/>
              </w:rPr>
              <w:t>Bankruptcy</w:t>
            </w:r>
          </w:p>
          <w:p>
            <w:pPr>
              <w:pStyle w:val="Normal"/>
              <w:rPr>
                <w:sz w:val="22"/>
              </w:rPr>
            </w:pPr>
            <w:r>
              <w:rPr>
                <w:sz w:val="22"/>
              </w:rPr>
              <w:t xml:space="preserve">Failure To Pay </w:t>
            </w:r>
          </w:p>
          <w:p>
            <w:pPr>
              <w:pStyle w:val="Normal"/>
              <w:rPr>
                <w:sz w:val="22"/>
              </w:rPr>
            </w:pPr>
            <w:r>
              <w:rPr>
                <w:sz w:val="22"/>
              </w:rPr>
            </w:r>
          </w:p>
          <w:p>
            <w:pPr>
              <w:pStyle w:val="Normal"/>
              <w:rPr>
                <w:sz w:val="22"/>
              </w:rPr>
            </w:pPr>
            <w:r>
              <w:rPr>
                <w:sz w:val="22"/>
              </w:rPr>
              <w:t>If an Enron Default Event occurs:</w:t>
            </w:r>
          </w:p>
          <w:p>
            <w:pPr>
              <w:pStyle w:val="Normal"/>
              <w:rPr>
                <w:sz w:val="22"/>
              </w:rPr>
            </w:pPr>
            <w:r>
              <w:rPr>
                <w:sz w:val="22"/>
              </w:rPr>
            </w:r>
          </w:p>
          <w:p>
            <w:pPr>
              <w:pStyle w:val="Normal"/>
              <w:numPr>
                <w:ilvl w:val="0"/>
                <w:numId w:val="5"/>
              </w:numPr>
              <w:rPr>
                <w:sz w:val="22"/>
              </w:rPr>
            </w:pPr>
            <w:r>
              <w:rPr>
                <w:sz w:val="22"/>
              </w:rPr>
              <w:t>Delta will assign to Citibank its floor from Enron in settlement of its obligations under the relevant Delta Floor Pricing Supplement;</w:t>
            </w:r>
          </w:p>
          <w:p>
            <w:pPr>
              <w:pStyle w:val="Normal"/>
              <w:rPr>
                <w:sz w:val="22"/>
              </w:rPr>
            </w:pPr>
            <w:r>
              <w:rPr>
                <w:sz w:val="22"/>
              </w:rPr>
            </w:r>
          </w:p>
          <w:p>
            <w:pPr>
              <w:pStyle w:val="Normal"/>
              <w:numPr>
                <w:ilvl w:val="0"/>
                <w:numId w:val="5"/>
              </w:numPr>
              <w:rPr>
                <w:sz w:val="22"/>
              </w:rPr>
            </w:pPr>
            <w:r>
              <w:rPr>
                <w:sz w:val="22"/>
              </w:rPr>
              <w:t>Citibank will settle its credit default swaps under the relevant Credit Default Swap Confirmations by delivering to each Bank a pro rata share of Enron’s floor obligation under the relevant (a) Enron Floor Pricing Supplement and (b) outstanding prepaid oil swap; and</w:t>
            </w:r>
          </w:p>
          <w:p>
            <w:pPr>
              <w:pStyle w:val="Normal"/>
              <w:rPr>
                <w:sz w:val="22"/>
              </w:rPr>
            </w:pPr>
            <w:r>
              <w:rPr>
                <w:sz w:val="22"/>
              </w:rPr>
            </w:r>
          </w:p>
          <w:p>
            <w:pPr>
              <w:pStyle w:val="Normal"/>
              <w:numPr>
                <w:ilvl w:val="0"/>
                <w:numId w:val="5"/>
              </w:numPr>
              <w:rPr>
                <w:sz w:val="22"/>
              </w:rPr>
            </w:pPr>
            <w:r>
              <w:rPr>
                <w:sz w:val="22"/>
              </w:rPr>
              <w:t>Each Bank will then settle its claim directly against Enron.</w:t>
            </w:r>
          </w:p>
          <w:p>
            <w:pPr>
              <w:pStyle w:val="Normal"/>
              <w:rPr>
                <w:sz w:val="22"/>
              </w:rPr>
            </w:pPr>
            <w:r>
              <w:rPr>
                <w:sz w:val="22"/>
              </w:rPr>
            </w:r>
          </w:p>
          <w:p>
            <w:pPr>
              <w:pStyle w:val="Normal"/>
              <w:rPr>
                <w:sz w:val="22"/>
              </w:rPr>
            </w:pPr>
            <w:r>
              <w:rPr>
                <w:sz w:val="22"/>
              </w:rPr>
            </w:r>
          </w:p>
        </w:tc>
      </w:tr>
      <w:tr>
        <w:trPr/>
        <w:tc>
          <w:tcPr>
            <w:tcW w:w="270" w:type="dxa"/>
            <w:gridSpan w:val="2"/>
            <w:tcBorders/>
          </w:tcPr>
          <w:p>
            <w:pPr>
              <w:pStyle w:val="Normal"/>
              <w:rPr>
                <w:sz w:val="22"/>
              </w:rPr>
            </w:pPr>
            <w:r>
              <w:rPr>
                <w:sz w:val="22"/>
              </w:rPr>
            </w:r>
          </w:p>
        </w:tc>
        <w:tc>
          <w:tcPr>
            <w:tcW w:w="4050" w:type="dxa"/>
            <w:gridSpan w:val="3"/>
            <w:tcBorders/>
            <w:tcMar>
              <w:start w:w="108" w:type="dxa"/>
              <w:end w:w="108" w:type="dxa"/>
            </w:tcMar>
          </w:tcPr>
          <w:p>
            <w:pPr>
              <w:pStyle w:val="Normal"/>
              <w:snapToGrid w:val="false"/>
              <w:rPr>
                <w:i/>
                <w:i/>
                <w:sz w:val="22"/>
              </w:rPr>
            </w:pPr>
            <w:r>
              <w:rPr>
                <w:i/>
                <w:sz w:val="22"/>
              </w:rPr>
            </w:r>
          </w:p>
        </w:tc>
        <w:tc>
          <w:tcPr>
            <w:tcW w:w="6480" w:type="dxa"/>
            <w:tcBorders/>
            <w:tcMar>
              <w:start w:w="108" w:type="dxa"/>
              <w:end w:w="108" w:type="dxa"/>
            </w:tcMar>
          </w:tcPr>
          <w:p>
            <w:pPr>
              <w:pStyle w:val="Normal"/>
              <w:snapToGrid w:val="false"/>
              <w:rPr>
                <w:i/>
                <w:i/>
                <w:sz w:val="22"/>
              </w:rPr>
            </w:pPr>
            <w:r>
              <w:rPr>
                <w:i/>
                <w:sz w:val="22"/>
              </w:rPr>
            </w:r>
          </w:p>
        </w:tc>
      </w:tr>
      <w:tr>
        <w:trPr/>
        <w:tc>
          <w:tcPr>
            <w:tcW w:w="270" w:type="dxa"/>
            <w:gridSpan w:val="2"/>
            <w:tcBorders/>
          </w:tcPr>
          <w:p>
            <w:pPr>
              <w:pStyle w:val="Normal"/>
              <w:rPr>
                <w:sz w:val="22"/>
              </w:rPr>
            </w:pPr>
            <w:r>
              <w:rPr>
                <w:sz w:val="22"/>
              </w:rPr>
            </w:r>
          </w:p>
        </w:tc>
        <w:tc>
          <w:tcPr>
            <w:tcW w:w="4050" w:type="dxa"/>
            <w:gridSpan w:val="3"/>
            <w:tcBorders/>
            <w:tcMar>
              <w:start w:w="108" w:type="dxa"/>
              <w:end w:w="108" w:type="dxa"/>
            </w:tcMar>
          </w:tcPr>
          <w:p>
            <w:pPr>
              <w:pStyle w:val="Normal"/>
              <w:rPr>
                <w:i/>
                <w:i/>
                <w:sz w:val="22"/>
              </w:rPr>
            </w:pPr>
            <w:r>
              <w:rPr>
                <w:i/>
                <w:sz w:val="22"/>
              </w:rPr>
              <w:t>Termination of the Revolving Prepaid Committed Facility:</w:t>
            </w:r>
          </w:p>
        </w:tc>
        <w:tc>
          <w:tcPr>
            <w:tcW w:w="6480" w:type="dxa"/>
            <w:tcBorders/>
            <w:tcMar>
              <w:start w:w="108" w:type="dxa"/>
              <w:end w:w="108" w:type="dxa"/>
            </w:tcMar>
          </w:tcPr>
          <w:p>
            <w:pPr>
              <w:pStyle w:val="Normal"/>
              <w:rPr>
                <w:sz w:val="22"/>
              </w:rPr>
            </w:pPr>
            <w:r>
              <w:rPr>
                <w:sz w:val="22"/>
              </w:rPr>
              <w:t>If a Bank enters Bankruptcy the commitment of Citibank under the Revolving Prepaid Committed Facility will be reduced by the amount of such Bank’s commitment.</w:t>
            </w:r>
          </w:p>
          <w:p>
            <w:pPr>
              <w:pStyle w:val="Normal"/>
              <w:rPr>
                <w:sz w:val="22"/>
              </w:rPr>
            </w:pPr>
            <w:r>
              <w:rPr>
                <w:sz w:val="22"/>
              </w:rPr>
            </w:r>
          </w:p>
          <w:p>
            <w:pPr>
              <w:pStyle w:val="Normal"/>
              <w:rPr/>
            </w:pPr>
            <w:r>
              <w:rPr>
                <w:sz w:val="22"/>
                <w:u w:val="single"/>
              </w:rPr>
              <w:t>Reinstatement:</w:t>
            </w:r>
            <w:r>
              <w:rPr>
                <w:sz w:val="22"/>
              </w:rPr>
              <w:t xml:space="preserve"> The Prepaid Notional Amount may be reinstated upon written consent by Citibank (in its sole discretion) if the defaulting Bank or a replacement financial institution becomes a Bank under the CDS Committed Facility by executing an agreement to be bound by the terms and conditions of the CDS Committed Facility.</w:t>
            </w:r>
          </w:p>
          <w:p>
            <w:pPr>
              <w:pStyle w:val="Normal"/>
              <w:rPr>
                <w:sz w:val="22"/>
              </w:rPr>
            </w:pPr>
            <w:r>
              <w:rPr>
                <w:sz w:val="22"/>
              </w:rPr>
            </w:r>
          </w:p>
        </w:tc>
      </w:tr>
      <w:tr>
        <w:trPr/>
        <w:tc>
          <w:tcPr>
            <w:tcW w:w="270" w:type="dxa"/>
            <w:gridSpan w:val="2"/>
            <w:tcBorders/>
          </w:tcPr>
          <w:p>
            <w:pPr>
              <w:pStyle w:val="Normal"/>
              <w:rPr>
                <w:sz w:val="22"/>
              </w:rPr>
            </w:pPr>
            <w:r>
              <w:rPr>
                <w:sz w:val="22"/>
              </w:rPr>
            </w:r>
          </w:p>
        </w:tc>
        <w:tc>
          <w:tcPr>
            <w:tcW w:w="4050" w:type="dxa"/>
            <w:gridSpan w:val="3"/>
            <w:tcBorders/>
            <w:tcMar>
              <w:start w:w="108" w:type="dxa"/>
              <w:end w:w="108" w:type="dxa"/>
            </w:tcMar>
          </w:tcPr>
          <w:p>
            <w:pPr>
              <w:pStyle w:val="Normal"/>
              <w:snapToGrid w:val="false"/>
              <w:rPr>
                <w:i/>
                <w:i/>
                <w:sz w:val="22"/>
              </w:rPr>
            </w:pPr>
            <w:r>
              <w:rPr>
                <w:i/>
                <w:sz w:val="22"/>
              </w:rPr>
            </w:r>
          </w:p>
        </w:tc>
        <w:tc>
          <w:tcPr>
            <w:tcW w:w="6480" w:type="dxa"/>
            <w:tcBorders/>
            <w:tcMar>
              <w:start w:w="108" w:type="dxa"/>
              <w:end w:w="108" w:type="dxa"/>
            </w:tcMar>
          </w:tcPr>
          <w:p>
            <w:pPr>
              <w:pStyle w:val="Normal"/>
              <w:snapToGrid w:val="false"/>
              <w:rPr>
                <w:i/>
                <w:i/>
                <w:sz w:val="22"/>
              </w:rPr>
            </w:pPr>
            <w:r>
              <w:rPr>
                <w:i/>
                <w:sz w:val="22"/>
              </w:rPr>
            </w:r>
          </w:p>
        </w:tc>
      </w:tr>
      <w:tr>
        <w:trPr/>
        <w:tc>
          <w:tcPr>
            <w:tcW w:w="270" w:type="dxa"/>
            <w:gridSpan w:val="2"/>
            <w:tcBorders/>
          </w:tcPr>
          <w:p>
            <w:pPr>
              <w:pStyle w:val="Normal"/>
              <w:rPr>
                <w:sz w:val="22"/>
              </w:rPr>
            </w:pPr>
            <w:r>
              <w:rPr>
                <w:sz w:val="22"/>
              </w:rPr>
            </w:r>
          </w:p>
        </w:tc>
        <w:tc>
          <w:tcPr>
            <w:tcW w:w="4050" w:type="dxa"/>
            <w:gridSpan w:val="3"/>
            <w:tcBorders/>
            <w:tcMar>
              <w:start w:w="108" w:type="dxa"/>
              <w:end w:w="108" w:type="dxa"/>
            </w:tcMar>
          </w:tcPr>
          <w:p>
            <w:pPr>
              <w:pStyle w:val="Normal"/>
              <w:rPr>
                <w:i/>
                <w:i/>
                <w:sz w:val="22"/>
              </w:rPr>
            </w:pPr>
            <w:r>
              <w:rPr>
                <w:i/>
                <w:sz w:val="22"/>
              </w:rPr>
              <w:t>Business Days:</w:t>
            </w:r>
          </w:p>
        </w:tc>
        <w:tc>
          <w:tcPr>
            <w:tcW w:w="6480" w:type="dxa"/>
            <w:tcBorders/>
            <w:tcMar>
              <w:start w:w="108" w:type="dxa"/>
              <w:end w:w="108" w:type="dxa"/>
            </w:tcMar>
          </w:tcPr>
          <w:p>
            <w:pPr>
              <w:pStyle w:val="Normal"/>
              <w:rPr>
                <w:sz w:val="22"/>
              </w:rPr>
            </w:pPr>
            <w:r>
              <w:rPr>
                <w:sz w:val="22"/>
              </w:rPr>
              <w:t xml:space="preserve">New York </w:t>
            </w:r>
          </w:p>
        </w:tc>
      </w:tr>
      <w:tr>
        <w:trPr/>
        <w:tc>
          <w:tcPr>
            <w:tcW w:w="270" w:type="dxa"/>
            <w:gridSpan w:val="2"/>
            <w:tcBorders/>
          </w:tcPr>
          <w:p>
            <w:pPr>
              <w:pStyle w:val="Normal"/>
              <w:rPr>
                <w:sz w:val="22"/>
              </w:rPr>
            </w:pPr>
            <w:r>
              <w:rPr>
                <w:sz w:val="22"/>
              </w:rPr>
            </w:r>
          </w:p>
        </w:tc>
        <w:tc>
          <w:tcPr>
            <w:tcW w:w="4050" w:type="dxa"/>
            <w:gridSpan w:val="3"/>
            <w:tcBorders/>
            <w:tcMar>
              <w:start w:w="108" w:type="dxa"/>
              <w:end w:w="108" w:type="dxa"/>
            </w:tcMar>
          </w:tcPr>
          <w:p>
            <w:pPr>
              <w:pStyle w:val="Normal"/>
              <w:snapToGrid w:val="false"/>
              <w:rPr>
                <w:i/>
                <w:i/>
                <w:sz w:val="22"/>
              </w:rPr>
            </w:pPr>
            <w:r>
              <w:rPr>
                <w:i/>
                <w:sz w:val="22"/>
              </w:rPr>
            </w:r>
          </w:p>
        </w:tc>
        <w:tc>
          <w:tcPr>
            <w:tcW w:w="6480" w:type="dxa"/>
            <w:tcBorders/>
            <w:tcMar>
              <w:start w:w="108" w:type="dxa"/>
              <w:end w:w="108" w:type="dxa"/>
            </w:tcMar>
          </w:tcPr>
          <w:p>
            <w:pPr>
              <w:pStyle w:val="Normal"/>
              <w:snapToGrid w:val="false"/>
              <w:rPr>
                <w:i/>
                <w:i/>
                <w:sz w:val="22"/>
              </w:rPr>
            </w:pPr>
            <w:r>
              <w:rPr>
                <w:i/>
                <w:sz w:val="22"/>
              </w:rPr>
            </w:r>
          </w:p>
        </w:tc>
      </w:tr>
      <w:tr>
        <w:trPr/>
        <w:tc>
          <w:tcPr>
            <w:tcW w:w="270" w:type="dxa"/>
            <w:gridSpan w:val="2"/>
            <w:tcBorders/>
          </w:tcPr>
          <w:p>
            <w:pPr>
              <w:pStyle w:val="Normal"/>
              <w:rPr>
                <w:sz w:val="22"/>
              </w:rPr>
            </w:pPr>
            <w:r>
              <w:rPr>
                <w:sz w:val="22"/>
              </w:rPr>
            </w:r>
          </w:p>
        </w:tc>
        <w:tc>
          <w:tcPr>
            <w:tcW w:w="4050" w:type="dxa"/>
            <w:gridSpan w:val="3"/>
            <w:tcBorders/>
            <w:tcMar>
              <w:start w:w="108" w:type="dxa"/>
              <w:end w:w="108" w:type="dxa"/>
            </w:tcMar>
          </w:tcPr>
          <w:p>
            <w:pPr>
              <w:pStyle w:val="Normal"/>
              <w:rPr>
                <w:i/>
                <w:i/>
                <w:sz w:val="22"/>
              </w:rPr>
            </w:pPr>
            <w:r>
              <w:rPr>
                <w:i/>
                <w:sz w:val="22"/>
              </w:rPr>
              <w:t>Business Day Convention:</w:t>
            </w:r>
          </w:p>
        </w:tc>
        <w:tc>
          <w:tcPr>
            <w:tcW w:w="6480" w:type="dxa"/>
            <w:tcBorders/>
            <w:tcMar>
              <w:start w:w="108" w:type="dxa"/>
              <w:end w:w="108" w:type="dxa"/>
            </w:tcMar>
          </w:tcPr>
          <w:p>
            <w:pPr>
              <w:pStyle w:val="Normal"/>
              <w:rPr>
                <w:sz w:val="22"/>
              </w:rPr>
            </w:pPr>
            <w:r>
              <w:rPr>
                <w:sz w:val="22"/>
              </w:rPr>
              <w:t>Modified Following</w:t>
            </w:r>
          </w:p>
        </w:tc>
      </w:tr>
      <w:tr>
        <w:trPr/>
        <w:tc>
          <w:tcPr>
            <w:tcW w:w="270" w:type="dxa"/>
            <w:gridSpan w:val="2"/>
            <w:tcBorders/>
          </w:tcPr>
          <w:p>
            <w:pPr>
              <w:pStyle w:val="Normal"/>
              <w:rPr>
                <w:sz w:val="22"/>
              </w:rPr>
            </w:pPr>
            <w:r>
              <w:rPr>
                <w:sz w:val="22"/>
              </w:rPr>
            </w:r>
          </w:p>
        </w:tc>
        <w:tc>
          <w:tcPr>
            <w:tcW w:w="4050" w:type="dxa"/>
            <w:gridSpan w:val="3"/>
            <w:tcBorders/>
            <w:tcMar>
              <w:start w:w="108" w:type="dxa"/>
              <w:end w:w="108" w:type="dxa"/>
            </w:tcMar>
          </w:tcPr>
          <w:p>
            <w:pPr>
              <w:pStyle w:val="Normal"/>
              <w:snapToGrid w:val="false"/>
              <w:rPr>
                <w:i/>
                <w:i/>
                <w:sz w:val="22"/>
              </w:rPr>
            </w:pPr>
            <w:r>
              <w:rPr>
                <w:i/>
                <w:sz w:val="22"/>
              </w:rPr>
            </w:r>
          </w:p>
        </w:tc>
        <w:tc>
          <w:tcPr>
            <w:tcW w:w="6480" w:type="dxa"/>
            <w:tcBorders/>
            <w:tcMar>
              <w:start w:w="108" w:type="dxa"/>
              <w:end w:w="108" w:type="dxa"/>
            </w:tcMar>
          </w:tcPr>
          <w:p>
            <w:pPr>
              <w:pStyle w:val="Normal"/>
              <w:snapToGrid w:val="false"/>
              <w:rPr>
                <w:i/>
                <w:i/>
                <w:sz w:val="22"/>
              </w:rPr>
            </w:pPr>
            <w:r>
              <w:rPr>
                <w:i/>
                <w:sz w:val="22"/>
              </w:rPr>
            </w:r>
          </w:p>
        </w:tc>
      </w:tr>
      <w:tr>
        <w:trPr/>
        <w:tc>
          <w:tcPr>
            <w:tcW w:w="4153" w:type="dxa"/>
            <w:gridSpan w:val="3"/>
            <w:tcBorders/>
            <w:tcMar>
              <w:start w:w="108" w:type="dxa"/>
              <w:end w:w="108" w:type="dxa"/>
            </w:tcMar>
          </w:tcPr>
          <w:p>
            <w:pPr>
              <w:pStyle w:val="Normal"/>
              <w:rPr>
                <w:i/>
                <w:i/>
                <w:sz w:val="22"/>
              </w:rPr>
            </w:pPr>
            <w:r>
              <w:rPr>
                <w:b/>
                <w:i/>
                <w:sz w:val="22"/>
              </w:rPr>
              <w:t>Other Provisions</w:t>
            </w:r>
          </w:p>
        </w:tc>
        <w:tc>
          <w:tcPr>
            <w:tcW w:w="6647" w:type="dxa"/>
            <w:gridSpan w:val="3"/>
            <w:tcBorders/>
            <w:tcMar>
              <w:start w:w="108" w:type="dxa"/>
              <w:end w:w="108" w:type="dxa"/>
            </w:tcMar>
          </w:tcPr>
          <w:p>
            <w:pPr>
              <w:pStyle w:val="Normal"/>
              <w:snapToGrid w:val="false"/>
              <w:rPr>
                <w:i/>
                <w:i/>
                <w:sz w:val="22"/>
              </w:rPr>
            </w:pPr>
            <w:r>
              <w:rPr>
                <w:i/>
                <w:sz w:val="22"/>
              </w:rPr>
            </w:r>
          </w:p>
        </w:tc>
      </w:tr>
      <w:tr>
        <w:trPr/>
        <w:tc>
          <w:tcPr>
            <w:tcW w:w="270" w:type="dxa"/>
            <w:gridSpan w:val="2"/>
            <w:tcBorders/>
          </w:tcPr>
          <w:p>
            <w:pPr>
              <w:pStyle w:val="Normal"/>
              <w:rPr>
                <w:sz w:val="22"/>
              </w:rPr>
            </w:pPr>
            <w:r>
              <w:rPr>
                <w:sz w:val="22"/>
              </w:rPr>
            </w:r>
          </w:p>
        </w:tc>
        <w:tc>
          <w:tcPr>
            <w:tcW w:w="4050" w:type="dxa"/>
            <w:gridSpan w:val="3"/>
            <w:tcBorders/>
            <w:tcMar>
              <w:start w:w="108" w:type="dxa"/>
              <w:end w:w="108" w:type="dxa"/>
            </w:tcMar>
          </w:tcPr>
          <w:p>
            <w:pPr>
              <w:pStyle w:val="Normal"/>
              <w:snapToGrid w:val="false"/>
              <w:rPr>
                <w:b/>
                <w:i/>
                <w:i/>
                <w:sz w:val="22"/>
              </w:rPr>
            </w:pPr>
            <w:r>
              <w:rPr>
                <w:b/>
                <w:i/>
                <w:sz w:val="22"/>
              </w:rPr>
            </w:r>
          </w:p>
        </w:tc>
        <w:tc>
          <w:tcPr>
            <w:tcW w:w="6480" w:type="dxa"/>
            <w:tcBorders/>
            <w:tcMar>
              <w:start w:w="108" w:type="dxa"/>
              <w:end w:w="108" w:type="dxa"/>
            </w:tcMar>
          </w:tcPr>
          <w:p>
            <w:pPr>
              <w:pStyle w:val="Normal"/>
              <w:snapToGrid w:val="false"/>
              <w:rPr>
                <w:b/>
                <w:i/>
                <w:i/>
                <w:sz w:val="22"/>
              </w:rPr>
            </w:pPr>
            <w:r>
              <w:rPr>
                <w:b/>
                <w:i/>
                <w:sz w:val="22"/>
              </w:rPr>
            </w:r>
          </w:p>
        </w:tc>
      </w:tr>
      <w:tr>
        <w:trPr/>
        <w:tc>
          <w:tcPr>
            <w:tcW w:w="270" w:type="dxa"/>
            <w:gridSpan w:val="2"/>
            <w:tcBorders/>
          </w:tcPr>
          <w:p>
            <w:pPr>
              <w:pStyle w:val="Normal"/>
              <w:rPr>
                <w:sz w:val="22"/>
              </w:rPr>
            </w:pPr>
            <w:r>
              <w:rPr>
                <w:sz w:val="22"/>
              </w:rPr>
            </w:r>
          </w:p>
        </w:tc>
        <w:tc>
          <w:tcPr>
            <w:tcW w:w="4050" w:type="dxa"/>
            <w:gridSpan w:val="3"/>
            <w:tcBorders/>
            <w:tcMar>
              <w:start w:w="108" w:type="dxa"/>
              <w:end w:w="108" w:type="dxa"/>
            </w:tcMar>
          </w:tcPr>
          <w:p>
            <w:pPr>
              <w:pStyle w:val="Normal"/>
              <w:rPr>
                <w:i/>
                <w:i/>
                <w:sz w:val="22"/>
              </w:rPr>
            </w:pPr>
            <w:r>
              <w:rPr>
                <w:i/>
                <w:sz w:val="22"/>
              </w:rPr>
              <w:t>Primary Documentation:</w:t>
            </w:r>
          </w:p>
        </w:tc>
        <w:tc>
          <w:tcPr>
            <w:tcW w:w="6480" w:type="dxa"/>
            <w:tcBorders/>
            <w:tcMar>
              <w:start w:w="108" w:type="dxa"/>
              <w:end w:w="108" w:type="dxa"/>
            </w:tcMar>
          </w:tcPr>
          <w:p>
            <w:pPr>
              <w:pStyle w:val="Normal"/>
              <w:rPr>
                <w:sz w:val="22"/>
              </w:rPr>
            </w:pPr>
            <w:r>
              <w:rPr>
                <w:sz w:val="22"/>
              </w:rPr>
              <w:t>The following constitute the primary documentation for the Transaction:</w:t>
            </w:r>
          </w:p>
          <w:p>
            <w:pPr>
              <w:pStyle w:val="Normal"/>
              <w:rPr>
                <w:sz w:val="22"/>
              </w:rPr>
            </w:pPr>
            <w:r>
              <w:rPr>
                <w:sz w:val="22"/>
              </w:rPr>
            </w:r>
          </w:p>
          <w:p>
            <w:pPr>
              <w:pStyle w:val="Normal"/>
              <w:numPr>
                <w:ilvl w:val="0"/>
                <w:numId w:val="6"/>
              </w:numPr>
              <w:rPr>
                <w:sz w:val="22"/>
              </w:rPr>
            </w:pPr>
            <w:r>
              <w:rPr>
                <w:sz w:val="22"/>
              </w:rPr>
              <w:t>Revolving Prepaid Committed Facility;</w:t>
            </w:r>
          </w:p>
          <w:p>
            <w:pPr>
              <w:pStyle w:val="Normal"/>
              <w:numPr>
                <w:ilvl w:val="0"/>
                <w:numId w:val="6"/>
              </w:numPr>
              <w:rPr>
                <w:sz w:val="22"/>
              </w:rPr>
            </w:pPr>
            <w:r>
              <w:rPr>
                <w:sz w:val="22"/>
              </w:rPr>
              <w:t>Revolving Prepaid Master Confirmation;</w:t>
            </w:r>
          </w:p>
          <w:p>
            <w:pPr>
              <w:pStyle w:val="Normal"/>
              <w:numPr>
                <w:ilvl w:val="0"/>
                <w:numId w:val="6"/>
              </w:numPr>
              <w:rPr>
                <w:sz w:val="22"/>
              </w:rPr>
            </w:pPr>
            <w:r>
              <w:rPr>
                <w:sz w:val="22"/>
              </w:rPr>
              <w:t>Enron Floor Option Master Confirmation;</w:t>
            </w:r>
          </w:p>
          <w:p>
            <w:pPr>
              <w:pStyle w:val="Normal"/>
              <w:numPr>
                <w:ilvl w:val="0"/>
                <w:numId w:val="6"/>
              </w:numPr>
              <w:rPr>
                <w:sz w:val="22"/>
              </w:rPr>
            </w:pPr>
            <w:r>
              <w:rPr>
                <w:sz w:val="22"/>
              </w:rPr>
              <w:t>Delta Floor Option Master Confirmation;</w:t>
            </w:r>
          </w:p>
          <w:p>
            <w:pPr>
              <w:pStyle w:val="Normal"/>
              <w:numPr>
                <w:ilvl w:val="0"/>
                <w:numId w:val="6"/>
              </w:numPr>
              <w:rPr>
                <w:sz w:val="22"/>
              </w:rPr>
            </w:pPr>
            <w:r>
              <w:rPr>
                <w:sz w:val="22"/>
              </w:rPr>
              <w:t>CDS Committed Facility with each Bank; and</w:t>
            </w:r>
          </w:p>
          <w:p>
            <w:pPr>
              <w:pStyle w:val="Normal"/>
              <w:numPr>
                <w:ilvl w:val="0"/>
                <w:numId w:val="6"/>
              </w:numPr>
              <w:rPr>
                <w:sz w:val="22"/>
              </w:rPr>
            </w:pPr>
            <w:r>
              <w:rPr>
                <w:sz w:val="22"/>
              </w:rPr>
              <w:t>Relevant ISDA Master Agreements (if necessary).</w:t>
            </w:r>
          </w:p>
          <w:p>
            <w:pPr>
              <w:pStyle w:val="Normal"/>
              <w:rPr>
                <w:sz w:val="22"/>
              </w:rPr>
            </w:pPr>
            <w:r>
              <w:rPr>
                <w:sz w:val="22"/>
              </w:rPr>
            </w:r>
          </w:p>
          <w:p>
            <w:pPr>
              <w:pStyle w:val="Normal"/>
              <w:rPr>
                <w:sz w:val="22"/>
              </w:rPr>
            </w:pPr>
            <w:r>
              <w:rPr>
                <w:sz w:val="22"/>
              </w:rPr>
              <w:t>The following documents must be executed prior to the effectiveness of each swap:</w:t>
            </w:r>
          </w:p>
          <w:p>
            <w:pPr>
              <w:pStyle w:val="Normal"/>
              <w:rPr>
                <w:sz w:val="22"/>
              </w:rPr>
            </w:pPr>
            <w:r>
              <w:rPr>
                <w:sz w:val="22"/>
              </w:rPr>
            </w:r>
          </w:p>
          <w:p>
            <w:pPr>
              <w:pStyle w:val="Normal"/>
              <w:numPr>
                <w:ilvl w:val="0"/>
                <w:numId w:val="3"/>
              </w:numPr>
              <w:rPr>
                <w:sz w:val="22"/>
              </w:rPr>
            </w:pPr>
            <w:r>
              <w:rPr>
                <w:sz w:val="22"/>
              </w:rPr>
              <w:t>Revolving Prepaid Execution Notice;</w:t>
            </w:r>
          </w:p>
          <w:p>
            <w:pPr>
              <w:pStyle w:val="Normal"/>
              <w:numPr>
                <w:ilvl w:val="0"/>
                <w:numId w:val="3"/>
              </w:numPr>
              <w:rPr>
                <w:sz w:val="22"/>
              </w:rPr>
            </w:pPr>
            <w:r>
              <w:rPr>
                <w:sz w:val="22"/>
              </w:rPr>
              <w:t>Notice Requesting a Credit Default Swap;</w:t>
            </w:r>
          </w:p>
          <w:p>
            <w:pPr>
              <w:pStyle w:val="Normal"/>
              <w:numPr>
                <w:ilvl w:val="0"/>
                <w:numId w:val="3"/>
              </w:numPr>
              <w:rPr>
                <w:sz w:val="22"/>
              </w:rPr>
            </w:pPr>
            <w:r>
              <w:rPr>
                <w:sz w:val="22"/>
              </w:rPr>
              <w:t>Revolving Prepaid Pricing Supplement;</w:t>
            </w:r>
          </w:p>
          <w:p>
            <w:pPr>
              <w:pStyle w:val="Normal"/>
              <w:numPr>
                <w:ilvl w:val="0"/>
                <w:numId w:val="3"/>
              </w:numPr>
              <w:rPr>
                <w:sz w:val="22"/>
              </w:rPr>
            </w:pPr>
            <w:r>
              <w:rPr>
                <w:sz w:val="22"/>
              </w:rPr>
              <w:t>Enron Floor Pricing Supplement;</w:t>
            </w:r>
          </w:p>
          <w:p>
            <w:pPr>
              <w:pStyle w:val="Normal"/>
              <w:numPr>
                <w:ilvl w:val="0"/>
                <w:numId w:val="3"/>
              </w:numPr>
              <w:rPr>
                <w:sz w:val="22"/>
              </w:rPr>
            </w:pPr>
            <w:r>
              <w:rPr>
                <w:sz w:val="22"/>
              </w:rPr>
              <w:t>Delta Floor Pricing Supplement; and</w:t>
            </w:r>
          </w:p>
          <w:p>
            <w:pPr>
              <w:pStyle w:val="Normal"/>
              <w:numPr>
                <w:ilvl w:val="0"/>
                <w:numId w:val="3"/>
              </w:numPr>
              <w:rPr>
                <w:sz w:val="22"/>
              </w:rPr>
            </w:pPr>
            <w:r>
              <w:rPr>
                <w:sz w:val="22"/>
              </w:rPr>
              <w:t>Credit Default Swap with each applicable Bank.</w:t>
            </w:r>
          </w:p>
        </w:tc>
      </w:tr>
      <w:tr>
        <w:trPr/>
        <w:tc>
          <w:tcPr>
            <w:tcW w:w="270" w:type="dxa"/>
            <w:gridSpan w:val="2"/>
            <w:tcBorders/>
          </w:tcPr>
          <w:p>
            <w:pPr>
              <w:pStyle w:val="Normal"/>
              <w:rPr>
                <w:sz w:val="22"/>
              </w:rPr>
            </w:pPr>
            <w:r>
              <w:rPr>
                <w:sz w:val="22"/>
              </w:rPr>
            </w:r>
          </w:p>
        </w:tc>
        <w:tc>
          <w:tcPr>
            <w:tcW w:w="4050" w:type="dxa"/>
            <w:gridSpan w:val="3"/>
            <w:tcBorders/>
            <w:tcMar>
              <w:start w:w="108" w:type="dxa"/>
              <w:end w:w="108" w:type="dxa"/>
            </w:tcMar>
          </w:tcPr>
          <w:p>
            <w:pPr>
              <w:pStyle w:val="Normal"/>
              <w:snapToGrid w:val="false"/>
              <w:rPr>
                <w:b/>
                <w:i/>
                <w:i/>
                <w:sz w:val="22"/>
              </w:rPr>
            </w:pPr>
            <w:r>
              <w:rPr>
                <w:b/>
                <w:i/>
                <w:sz w:val="22"/>
              </w:rPr>
            </w:r>
          </w:p>
        </w:tc>
        <w:tc>
          <w:tcPr>
            <w:tcW w:w="6480" w:type="dxa"/>
            <w:tcBorders/>
            <w:tcMar>
              <w:start w:w="108" w:type="dxa"/>
              <w:end w:w="108" w:type="dxa"/>
            </w:tcMar>
          </w:tcPr>
          <w:p>
            <w:pPr>
              <w:pStyle w:val="Normal"/>
              <w:snapToGrid w:val="false"/>
              <w:rPr>
                <w:b/>
                <w:i/>
                <w:i/>
                <w:sz w:val="22"/>
              </w:rPr>
            </w:pPr>
            <w:r>
              <w:rPr>
                <w:b/>
                <w:i/>
                <w:sz w:val="22"/>
              </w:rPr>
            </w:r>
          </w:p>
        </w:tc>
      </w:tr>
      <w:tr>
        <w:trPr/>
        <w:tc>
          <w:tcPr>
            <w:tcW w:w="270" w:type="dxa"/>
            <w:gridSpan w:val="2"/>
            <w:tcBorders/>
          </w:tcPr>
          <w:p>
            <w:pPr>
              <w:pStyle w:val="Normal"/>
              <w:rPr>
                <w:sz w:val="22"/>
              </w:rPr>
            </w:pPr>
            <w:r>
              <w:rPr>
                <w:sz w:val="22"/>
              </w:rPr>
            </w:r>
          </w:p>
        </w:tc>
        <w:tc>
          <w:tcPr>
            <w:tcW w:w="4050" w:type="dxa"/>
            <w:gridSpan w:val="3"/>
            <w:tcBorders/>
            <w:tcMar>
              <w:start w:w="108" w:type="dxa"/>
              <w:end w:w="108" w:type="dxa"/>
            </w:tcMar>
          </w:tcPr>
          <w:p>
            <w:pPr>
              <w:pStyle w:val="Normal"/>
              <w:rPr>
                <w:i/>
                <w:i/>
                <w:sz w:val="22"/>
              </w:rPr>
            </w:pPr>
            <w:r>
              <w:rPr>
                <w:i/>
                <w:sz w:val="22"/>
              </w:rPr>
              <w:t>Governing Law:</w:t>
            </w:r>
          </w:p>
        </w:tc>
        <w:tc>
          <w:tcPr>
            <w:tcW w:w="6480" w:type="dxa"/>
            <w:tcBorders/>
            <w:tcMar>
              <w:start w:w="108" w:type="dxa"/>
              <w:end w:w="108" w:type="dxa"/>
            </w:tcMar>
          </w:tcPr>
          <w:p>
            <w:pPr>
              <w:pStyle w:val="Normal"/>
              <w:rPr>
                <w:sz w:val="22"/>
              </w:rPr>
            </w:pPr>
            <w:r>
              <w:rPr>
                <w:sz w:val="22"/>
              </w:rPr>
              <w:t>New York</w:t>
            </w:r>
          </w:p>
        </w:tc>
      </w:tr>
      <w:tr>
        <w:trPr/>
        <w:tc>
          <w:tcPr>
            <w:tcW w:w="270" w:type="dxa"/>
            <w:gridSpan w:val="2"/>
            <w:tcBorders/>
          </w:tcPr>
          <w:p>
            <w:pPr>
              <w:pStyle w:val="Normal"/>
              <w:rPr>
                <w:sz w:val="22"/>
              </w:rPr>
            </w:pPr>
            <w:r>
              <w:rPr>
                <w:sz w:val="22"/>
              </w:rPr>
            </w:r>
          </w:p>
        </w:tc>
        <w:tc>
          <w:tcPr>
            <w:tcW w:w="4050" w:type="dxa"/>
            <w:gridSpan w:val="3"/>
            <w:tcBorders/>
            <w:tcMar>
              <w:start w:w="108" w:type="dxa"/>
              <w:end w:w="108" w:type="dxa"/>
            </w:tcMar>
          </w:tcPr>
          <w:p>
            <w:pPr>
              <w:pStyle w:val="Normal"/>
              <w:snapToGrid w:val="false"/>
              <w:rPr>
                <w:b/>
                <w:i/>
                <w:i/>
                <w:sz w:val="22"/>
              </w:rPr>
            </w:pPr>
            <w:r>
              <w:rPr>
                <w:b/>
                <w:i/>
                <w:sz w:val="22"/>
              </w:rPr>
            </w:r>
          </w:p>
        </w:tc>
        <w:tc>
          <w:tcPr>
            <w:tcW w:w="6480" w:type="dxa"/>
            <w:tcBorders/>
            <w:tcMar>
              <w:start w:w="108" w:type="dxa"/>
              <w:end w:w="108" w:type="dxa"/>
            </w:tcMar>
          </w:tcPr>
          <w:p>
            <w:pPr>
              <w:pStyle w:val="Normal"/>
              <w:snapToGrid w:val="false"/>
              <w:rPr>
                <w:b/>
                <w:i/>
                <w:i/>
                <w:sz w:val="22"/>
              </w:rPr>
            </w:pPr>
            <w:r>
              <w:rPr>
                <w:b/>
                <w:i/>
                <w:sz w:val="22"/>
              </w:rPr>
            </w:r>
          </w:p>
        </w:tc>
      </w:tr>
    </w:tbl>
    <w:p>
      <w:pPr>
        <w:pStyle w:val="Normal"/>
        <w:rPr/>
      </w:pPr>
      <w:r>
        <w:rPr/>
      </w:r>
    </w:p>
    <w:p>
      <w:pPr>
        <w:pStyle w:val="Normal"/>
        <w:rPr/>
      </w:pPr>
      <w:r>
        <w:rPr/>
      </w:r>
    </w:p>
    <w:p>
      <w:pPr>
        <w:pStyle w:val="BodyText"/>
        <w:rPr>
          <w:i/>
          <w:i/>
          <w:u w:val="single"/>
        </w:rPr>
      </w:pPr>
      <w:r>
        <w:rPr>
          <w:i/>
          <w:color w:val="000000"/>
        </w:rPr>
        <w:t>The terms set forth are intended for discussion purposes only and are subject to the final expression of the terms of a transaction as set forth in a definitive agreement and/or confirmation. Although the information contained herein is believed to be reliable, Citigroup makes no representation as to the accuracy or completeness of any information contained herein or otherwise provided by Citigroup. Citigroup is not acting as your advisor or agent. Prior to entering into any proposed transaction you should determine, without reliance upon Citigroup or its affiliates, the economic risks and merits, as well as the legal, tax and accounting characterizations and consequences, of the transaction and that you are able to assume these risks. This proposal is neither an offer to sell nor the solicitation of an offer to enter into a transaction. Citigroup and its affiliates may act as principal or agent in similar transactions or in transactions with respect to instruments underlying a proposed transaction. This document and its contents are proprietary information and products of Citigroup and may not be reproduced or otherwise disseminated in whole or in part without Citigroup’s written consent.</w:t>
      </w:r>
      <w:r>
        <w:br w:type="page"/>
      </w:r>
    </w:p>
    <w:p>
      <w:pPr>
        <w:pStyle w:val="Normal"/>
        <w:jc w:val="center"/>
        <w:rPr>
          <w:b/>
        </w:rPr>
      </w:pPr>
      <w:r>
        <w:rPr>
          <w:b/>
        </w:rPr>
        <w:t>ANNEX A</w:t>
      </w:r>
    </w:p>
    <w:p>
      <w:pPr>
        <w:pStyle w:val="Normal"/>
        <w:jc w:val="center"/>
        <w:rPr/>
      </w:pPr>
      <w:r>
        <w:rPr/>
      </w:r>
    </w:p>
    <w:p>
      <w:pPr>
        <w:pStyle w:val="Heading2"/>
        <w:ind w:hanging="0" w:start="0"/>
        <w:rPr/>
      </w:pPr>
      <w:r>
        <w:rPr/>
        <w:t>REVOLVING PREPAID EXECUTION NOTICE</w:t>
      </w:r>
    </w:p>
    <w:p>
      <w:pPr>
        <w:pStyle w:val="Normal"/>
        <w:jc w:val="center"/>
        <w:rPr/>
      </w:pPr>
      <w:r>
        <w:rPr/>
      </w:r>
    </w:p>
    <w:p>
      <w:pPr>
        <w:pStyle w:val="Footer"/>
        <w:tabs>
          <w:tab w:val="clear" w:pos="4320"/>
          <w:tab w:val="clear" w:pos="8640"/>
        </w:tabs>
        <w:rPr/>
      </w:pPr>
      <w:r>
        <w:rPr/>
        <w:t>[Citibank]</w:t>
      </w:r>
    </w:p>
    <w:p>
      <w:pPr>
        <w:pStyle w:val="Normal"/>
        <w:rPr/>
      </w:pPr>
      <w:r>
        <w:rPr/>
      </w:r>
    </w:p>
    <w:p>
      <w:pPr>
        <w:pStyle w:val="Normal"/>
        <w:rPr/>
      </w:pPr>
      <w:r>
        <w:rPr/>
        <w:t>[Address]</w:t>
      </w:r>
    </w:p>
    <w:p>
      <w:pPr>
        <w:pStyle w:val="Normal"/>
        <w:rPr/>
      </w:pPr>
      <w:r>
        <w:rPr/>
      </w:r>
    </w:p>
    <w:p>
      <w:pPr>
        <w:pStyle w:val="Normal"/>
        <w:rPr/>
      </w:pPr>
      <w:r>
        <w:rPr/>
        <w:t>[date]</w:t>
      </w:r>
    </w:p>
    <w:p>
      <w:pPr>
        <w:pStyle w:val="Normal"/>
        <w:rPr/>
      </w:pPr>
      <w:r>
        <w:rPr/>
      </w:r>
    </w:p>
    <w:p>
      <w:pPr>
        <w:pStyle w:val="BodyText3"/>
        <w:rPr/>
      </w:pPr>
      <w:r>
        <w:rPr/>
        <w:t>Re:  Revolving Prepaid Committed Facility, dated [        ], (the “Revolving Prepaid Committed Facility”), between Enron Corp. and Citibank, N.A.</w:t>
      </w:r>
    </w:p>
    <w:p>
      <w:pPr>
        <w:pStyle w:val="Normal"/>
        <w:rPr/>
      </w:pPr>
      <w:r>
        <w:rPr/>
      </w:r>
    </w:p>
    <w:p>
      <w:pPr>
        <w:pStyle w:val="Normal"/>
        <w:rPr>
          <w:sz w:val="22"/>
        </w:rPr>
      </w:pPr>
      <w:r>
        <w:rPr>
          <w:sz w:val="22"/>
        </w:rPr>
        <w:t>Pursuant to the Revolving Prepaid Committed Facility, Enron Corp. hereby requests that you provide a swap pursuant to the terms of the Revolving Prepaid Master Confirmation and the Prepaid Pricing Supplements.  Please provide the terms of the swap in the Revolving Prepaid Pricing Supplement, the Delta Floor Pricing Supplement and the Enron Floor Pricing Supplement attached hereto.</w:t>
      </w:r>
    </w:p>
    <w:p>
      <w:pPr>
        <w:pStyle w:val="Normal"/>
        <w:rPr>
          <w:sz w:val="22"/>
        </w:rPr>
      </w:pPr>
      <w:r>
        <w:rPr>
          <w:sz w:val="22"/>
        </w:rPr>
      </w:r>
    </w:p>
    <w:p>
      <w:pPr>
        <w:pStyle w:val="Normal"/>
        <w:rPr/>
      </w:pPr>
      <w:r>
        <w:rPr/>
        <w:t>All capitalized terms used in this notice and not defined shall have the meanings set forth in the Revolving Prepaid Committed Facility.</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3528"/>
        <w:gridCol w:w="5328"/>
      </w:tblGrid>
      <w:tr>
        <w:trPr/>
        <w:tc>
          <w:tcPr>
            <w:tcW w:w="3528" w:type="dxa"/>
            <w:tcBorders/>
          </w:tcPr>
          <w:p>
            <w:pPr>
              <w:pStyle w:val="Footer"/>
              <w:tabs>
                <w:tab w:val="clear" w:pos="4320"/>
                <w:tab w:val="clear" w:pos="8640"/>
              </w:tabs>
              <w:snapToGrid w:val="false"/>
              <w:rPr/>
            </w:pPr>
            <w:r>
              <w:rPr/>
            </w:r>
          </w:p>
        </w:tc>
        <w:tc>
          <w:tcPr>
            <w:tcW w:w="5328" w:type="dxa"/>
            <w:tcBorders/>
          </w:tcPr>
          <w:p>
            <w:pPr>
              <w:pStyle w:val="Normal"/>
              <w:snapToGrid w:val="false"/>
              <w:rPr/>
            </w:pPr>
            <w:r>
              <w:rPr/>
            </w:r>
          </w:p>
        </w:tc>
      </w:tr>
      <w:tr>
        <w:trPr/>
        <w:tc>
          <w:tcPr>
            <w:tcW w:w="3528" w:type="dxa"/>
            <w:tcBorders/>
          </w:tcPr>
          <w:p>
            <w:pPr>
              <w:pStyle w:val="Normal"/>
              <w:rPr>
                <w:i/>
                <w:i/>
              </w:rPr>
            </w:pPr>
            <w:r>
              <w:rPr>
                <w:i/>
              </w:rPr>
              <w:t>Trade Date:</w:t>
            </w:r>
          </w:p>
        </w:tc>
        <w:tc>
          <w:tcPr>
            <w:tcW w:w="5328" w:type="dxa"/>
            <w:tcBorders/>
          </w:tcPr>
          <w:p>
            <w:pPr>
              <w:pStyle w:val="Normal"/>
              <w:rPr/>
            </w:pPr>
            <w:r>
              <w:rPr/>
              <w:t>[               ]</w:t>
            </w:r>
          </w:p>
        </w:tc>
      </w:tr>
      <w:tr>
        <w:trPr/>
        <w:tc>
          <w:tcPr>
            <w:tcW w:w="3528" w:type="dxa"/>
            <w:tcBorders/>
          </w:tcPr>
          <w:p>
            <w:pPr>
              <w:pStyle w:val="Normal"/>
              <w:snapToGrid w:val="false"/>
              <w:rPr/>
            </w:pPr>
            <w:r>
              <w:rPr/>
            </w:r>
          </w:p>
        </w:tc>
        <w:tc>
          <w:tcPr>
            <w:tcW w:w="5328" w:type="dxa"/>
            <w:tcBorders/>
          </w:tcPr>
          <w:p>
            <w:pPr>
              <w:pStyle w:val="Normal"/>
              <w:snapToGrid w:val="false"/>
              <w:rPr/>
            </w:pPr>
            <w:r>
              <w:rPr/>
            </w:r>
          </w:p>
        </w:tc>
      </w:tr>
      <w:tr>
        <w:trPr/>
        <w:tc>
          <w:tcPr>
            <w:tcW w:w="3528" w:type="dxa"/>
            <w:tcBorders/>
          </w:tcPr>
          <w:p>
            <w:pPr>
              <w:pStyle w:val="Normal"/>
              <w:rPr>
                <w:i/>
                <w:i/>
              </w:rPr>
            </w:pPr>
            <w:r>
              <w:rPr>
                <w:i/>
              </w:rPr>
              <w:t>Effective Date:</w:t>
            </w:r>
          </w:p>
        </w:tc>
        <w:tc>
          <w:tcPr>
            <w:tcW w:w="5328" w:type="dxa"/>
            <w:tcBorders/>
          </w:tcPr>
          <w:p>
            <w:pPr>
              <w:pStyle w:val="Normal"/>
              <w:rPr/>
            </w:pPr>
            <w:r>
              <w:rPr/>
              <w:t>[               ]</w:t>
            </w:r>
          </w:p>
        </w:tc>
      </w:tr>
      <w:tr>
        <w:trPr/>
        <w:tc>
          <w:tcPr>
            <w:tcW w:w="3528" w:type="dxa"/>
            <w:tcBorders/>
          </w:tcPr>
          <w:p>
            <w:pPr>
              <w:pStyle w:val="Normal"/>
              <w:snapToGrid w:val="false"/>
              <w:rPr/>
            </w:pPr>
            <w:r>
              <w:rPr/>
            </w:r>
          </w:p>
        </w:tc>
        <w:tc>
          <w:tcPr>
            <w:tcW w:w="5328" w:type="dxa"/>
            <w:tcBorders/>
          </w:tcPr>
          <w:p>
            <w:pPr>
              <w:pStyle w:val="Normal"/>
              <w:snapToGrid w:val="false"/>
              <w:rPr/>
            </w:pPr>
            <w:r>
              <w:rPr/>
            </w:r>
          </w:p>
        </w:tc>
      </w:tr>
      <w:tr>
        <w:trPr/>
        <w:tc>
          <w:tcPr>
            <w:tcW w:w="3528" w:type="dxa"/>
            <w:tcBorders/>
          </w:tcPr>
          <w:p>
            <w:pPr>
              <w:pStyle w:val="Normal"/>
              <w:rPr>
                <w:i/>
                <w:i/>
              </w:rPr>
            </w:pPr>
            <w:r>
              <w:rPr>
                <w:i/>
              </w:rPr>
              <w:t>Scheduled Termination Date:</w:t>
            </w:r>
          </w:p>
        </w:tc>
        <w:tc>
          <w:tcPr>
            <w:tcW w:w="5328" w:type="dxa"/>
            <w:tcBorders/>
          </w:tcPr>
          <w:p>
            <w:pPr>
              <w:pStyle w:val="Normal"/>
              <w:rPr/>
            </w:pPr>
            <w:r>
              <w:rPr/>
              <w:t>[               ]</w:t>
            </w:r>
          </w:p>
        </w:tc>
      </w:tr>
      <w:tr>
        <w:trPr/>
        <w:tc>
          <w:tcPr>
            <w:tcW w:w="3528" w:type="dxa"/>
            <w:tcBorders/>
          </w:tcPr>
          <w:p>
            <w:pPr>
              <w:pStyle w:val="Normal"/>
              <w:snapToGrid w:val="false"/>
              <w:rPr/>
            </w:pPr>
            <w:r>
              <w:rPr/>
            </w:r>
          </w:p>
        </w:tc>
        <w:tc>
          <w:tcPr>
            <w:tcW w:w="5328" w:type="dxa"/>
            <w:tcBorders/>
          </w:tcPr>
          <w:p>
            <w:pPr>
              <w:pStyle w:val="Normal"/>
              <w:snapToGrid w:val="false"/>
              <w:rPr/>
            </w:pPr>
            <w:r>
              <w:rPr/>
            </w:r>
          </w:p>
        </w:tc>
      </w:tr>
      <w:tr>
        <w:trPr/>
        <w:tc>
          <w:tcPr>
            <w:tcW w:w="3528" w:type="dxa"/>
            <w:tcBorders/>
          </w:tcPr>
          <w:p>
            <w:pPr>
              <w:pStyle w:val="Normal"/>
              <w:rPr>
                <w:i/>
                <w:i/>
              </w:rPr>
            </w:pPr>
            <w:r>
              <w:rPr>
                <w:i/>
              </w:rPr>
              <w:t>Notional Amount:</w:t>
            </w:r>
          </w:p>
        </w:tc>
        <w:tc>
          <w:tcPr>
            <w:tcW w:w="5328" w:type="dxa"/>
            <w:tcBorders/>
          </w:tcPr>
          <w:p>
            <w:pPr>
              <w:pStyle w:val="Normal"/>
              <w:rPr/>
            </w:pPr>
            <w:r>
              <w:rPr/>
              <w:t>[                 ]</w:t>
            </w:r>
          </w:p>
        </w:tc>
      </w:tr>
      <w:tr>
        <w:trPr/>
        <w:tc>
          <w:tcPr>
            <w:tcW w:w="3528" w:type="dxa"/>
            <w:tcBorders/>
          </w:tcPr>
          <w:p>
            <w:pPr>
              <w:pStyle w:val="Normal"/>
              <w:snapToGrid w:val="false"/>
              <w:rPr/>
            </w:pPr>
            <w:r>
              <w:rPr/>
            </w:r>
          </w:p>
        </w:tc>
        <w:tc>
          <w:tcPr>
            <w:tcW w:w="5328" w:type="dxa"/>
            <w:tcBorders/>
          </w:tcPr>
          <w:p>
            <w:pPr>
              <w:pStyle w:val="Normal"/>
              <w:snapToGrid w:val="false"/>
              <w:rPr/>
            </w:pPr>
            <w:r>
              <w:rPr/>
            </w:r>
          </w:p>
        </w:tc>
      </w:tr>
      <w:tr>
        <w:trPr/>
        <w:tc>
          <w:tcPr>
            <w:tcW w:w="3528" w:type="dxa"/>
            <w:tcBorders/>
          </w:tcPr>
          <w:p>
            <w:pPr>
              <w:pStyle w:val="Normal"/>
              <w:rPr>
                <w:i/>
                <w:i/>
              </w:rPr>
            </w:pPr>
            <w:r>
              <w:rPr>
                <w:i/>
              </w:rPr>
              <w:t>Payment Dates:</w:t>
            </w:r>
          </w:p>
        </w:tc>
        <w:tc>
          <w:tcPr>
            <w:tcW w:w="5328" w:type="dxa"/>
            <w:tcBorders/>
          </w:tcPr>
          <w:p>
            <w:pPr>
              <w:pStyle w:val="Normal"/>
              <w:rPr/>
            </w:pPr>
            <w:r>
              <w:rPr/>
              <w:t>[               ]</w:t>
            </w:r>
          </w:p>
        </w:tc>
      </w:tr>
      <w:tr>
        <w:trPr/>
        <w:tc>
          <w:tcPr>
            <w:tcW w:w="3528" w:type="dxa"/>
            <w:tcBorders/>
          </w:tcPr>
          <w:p>
            <w:pPr>
              <w:pStyle w:val="Normal"/>
              <w:snapToGrid w:val="false"/>
              <w:rPr/>
            </w:pPr>
            <w:r>
              <w:rPr/>
            </w:r>
          </w:p>
        </w:tc>
        <w:tc>
          <w:tcPr>
            <w:tcW w:w="5328" w:type="dxa"/>
            <w:tcBorders/>
          </w:tcPr>
          <w:p>
            <w:pPr>
              <w:pStyle w:val="Normal"/>
              <w:snapToGrid w:val="false"/>
              <w:rPr/>
            </w:pPr>
            <w:r>
              <w:rPr/>
            </w:r>
          </w:p>
        </w:tc>
      </w:tr>
    </w:tbl>
    <w:p>
      <w:pPr>
        <w:pStyle w:val="Normal"/>
        <w:rPr/>
      </w:pPr>
      <w:r>
        <w:rPr/>
      </w:r>
    </w:p>
    <w:p>
      <w:pPr>
        <w:pStyle w:val="Normal"/>
        <w:rPr/>
      </w:pPr>
      <w:r>
        <w:rPr/>
      </w:r>
    </w:p>
    <w:p>
      <w:pPr>
        <w:pStyle w:val="Normal"/>
        <w:rPr/>
      </w:pPr>
      <w:r>
        <w:rPr/>
      </w:r>
    </w:p>
    <w:p>
      <w:pPr>
        <w:pStyle w:val="Normal"/>
        <w:rPr/>
      </w:pPr>
      <w:r>
        <w:rPr/>
        <w:tab/>
        <w:tab/>
        <w:tab/>
        <w:tab/>
        <w:tab/>
        <w:tab/>
        <w:t>Very truly yours,</w:t>
      </w:r>
    </w:p>
    <w:p>
      <w:pPr>
        <w:pStyle w:val="Normal"/>
        <w:rPr/>
      </w:pPr>
      <w:r>
        <w:rPr/>
      </w:r>
    </w:p>
    <w:p>
      <w:pPr>
        <w:pStyle w:val="Normal"/>
        <w:ind w:firstLine="720" w:start="3600" w:end="0"/>
        <w:rPr/>
      </w:pPr>
      <w:r>
        <w:rPr/>
        <w:t>ENRON CORP.</w:t>
      </w:r>
    </w:p>
    <w:p>
      <w:pPr>
        <w:pStyle w:val="Normal"/>
        <w:ind w:firstLine="720" w:start="3600" w:end="0"/>
        <w:rPr/>
      </w:pPr>
      <w:r>
        <w:rPr/>
      </w:r>
    </w:p>
    <w:p>
      <w:pPr>
        <w:pStyle w:val="Normal"/>
        <w:ind w:firstLine="720" w:start="3600" w:end="0"/>
        <w:rPr/>
      </w:pPr>
      <w:r>
        <w:rPr/>
      </w:r>
    </w:p>
    <w:p>
      <w:pPr>
        <w:pStyle w:val="Normal"/>
        <w:ind w:firstLine="720" w:start="3600" w:end="0"/>
        <w:rPr/>
      </w:pPr>
      <w:r>
        <w:rPr/>
        <w:t>By: ______________________________</w:t>
      </w:r>
    </w:p>
    <w:p>
      <w:pPr>
        <w:pStyle w:val="Normal"/>
        <w:ind w:firstLine="720" w:start="3600" w:end="0"/>
        <w:rPr/>
      </w:pPr>
      <w:r>
        <w:rPr/>
        <w:tab/>
        <w:t>Name:</w:t>
      </w:r>
    </w:p>
    <w:p>
      <w:pPr>
        <w:pStyle w:val="Normal"/>
        <w:ind w:firstLine="720" w:start="3600" w:end="0"/>
        <w:rPr/>
      </w:pPr>
      <w:r>
        <w:rPr/>
        <w:tab/>
        <w:t>Title:</w:t>
      </w:r>
    </w:p>
    <w:p>
      <w:pPr>
        <w:pStyle w:val="Normal"/>
        <w:rPr/>
      </w:pPr>
      <w:r>
        <w:rPr/>
      </w:r>
      <w:r>
        <w:br w:type="page"/>
      </w:r>
    </w:p>
    <w:p>
      <w:pPr>
        <w:pStyle w:val="Normal"/>
        <w:jc w:val="center"/>
        <w:rPr>
          <w:b/>
        </w:rPr>
      </w:pPr>
      <w:r>
        <w:rPr>
          <w:b/>
        </w:rPr>
        <w:t>ANNEX B</w:t>
      </w:r>
    </w:p>
    <w:p>
      <w:pPr>
        <w:pStyle w:val="Normal"/>
        <w:jc w:val="center"/>
        <w:rPr/>
      </w:pPr>
      <w:r>
        <w:rPr/>
      </w:r>
    </w:p>
    <w:p>
      <w:pPr>
        <w:pStyle w:val="Heading2"/>
        <w:ind w:hanging="0" w:start="0"/>
        <w:rPr/>
      </w:pPr>
      <w:r>
        <w:rPr/>
        <w:t>[FORM OF PRICING SUPPLEMENTS]</w:t>
      </w:r>
    </w:p>
    <w:p>
      <w:pPr>
        <w:pStyle w:val="Normal"/>
        <w:jc w:val="center"/>
        <w:rPr/>
      </w:pPr>
      <w:r>
        <w:rPr/>
      </w:r>
    </w:p>
    <w:p>
      <w:pPr>
        <w:pStyle w:val="Footer"/>
        <w:tabs>
          <w:tab w:val="clear" w:pos="4320"/>
          <w:tab w:val="clear" w:pos="8640"/>
        </w:tabs>
        <w:rPr/>
      </w:pPr>
      <w:r>
        <w:rPr/>
        <w:t>[Enron][Delta]</w:t>
      </w:r>
    </w:p>
    <w:p>
      <w:pPr>
        <w:pStyle w:val="Normal"/>
        <w:rPr/>
      </w:pPr>
      <w:r>
        <w:rPr/>
      </w:r>
    </w:p>
    <w:p>
      <w:pPr>
        <w:pStyle w:val="Normal"/>
        <w:rPr/>
      </w:pPr>
      <w:r>
        <w:rPr/>
        <w:t>[Address]</w:t>
      </w:r>
    </w:p>
    <w:p>
      <w:pPr>
        <w:pStyle w:val="Normal"/>
        <w:rPr/>
      </w:pPr>
      <w:r>
        <w:rPr/>
        <w:t>[date]</w:t>
      </w:r>
    </w:p>
    <w:p>
      <w:pPr>
        <w:pStyle w:val="Normal"/>
        <w:rPr/>
      </w:pPr>
      <w:r>
        <w:rPr/>
      </w:r>
    </w:p>
    <w:p>
      <w:pPr>
        <w:pStyle w:val="BodyText3"/>
        <w:rPr/>
      </w:pPr>
      <w:r>
        <w:rPr/>
        <w:t>Re:  [Revolving Prepaid Master Confirmation, dated [       ] (the “Revolving Prepaid Master Confirmation”), between Citibank, N.A. and Enron Corp.][Delta Floor Option Master Confirmation, dated [         ] (the “Delta Floor Option Master Confirmation”), between Delta and Citibank, N.A.][Enron Floor Option Master Confirmation, dated [        ] (the “Enron Floor Option Master Confirmation”), between Delta and Enron Corp.]</w:t>
      </w:r>
    </w:p>
    <w:p>
      <w:pPr>
        <w:pStyle w:val="Normal"/>
        <w:rPr/>
      </w:pPr>
      <w:r>
        <w:rPr/>
      </w:r>
    </w:p>
    <w:p>
      <w:pPr>
        <w:pStyle w:val="Normal"/>
        <w:rPr/>
      </w:pPr>
      <w:r>
        <w:rPr/>
        <w:t xml:space="preserve">Pursuant to the Revolving Prepaid Committed Facility, Enron Corp. hereby requests that you provide </w:t>
      </w:r>
      <w:r>
        <w:rPr>
          <w:sz w:val="22"/>
        </w:rPr>
        <w:t xml:space="preserve">a swap pursuant to the terms of the Revolving Prepaid Master Confirmation and the Prepaid Pricing Supplements.  Please provide the terms of the swap in the Revolving Prepaid Pricing Supplement, the Delta Floor Pricing Supplement and the Enron Floor Pricing Supplement </w:t>
      </w:r>
      <w:r>
        <w:rPr/>
        <w:t>attached hereto.</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3528"/>
        <w:gridCol w:w="5328"/>
      </w:tblGrid>
      <w:tr>
        <w:trPr/>
        <w:tc>
          <w:tcPr>
            <w:tcW w:w="3528" w:type="dxa"/>
            <w:tcBorders/>
          </w:tcPr>
          <w:p>
            <w:pPr>
              <w:pStyle w:val="Footer"/>
              <w:tabs>
                <w:tab w:val="clear" w:pos="4320"/>
                <w:tab w:val="clear" w:pos="8640"/>
              </w:tabs>
              <w:snapToGrid w:val="false"/>
              <w:rPr/>
            </w:pPr>
            <w:r>
              <w:rPr/>
            </w:r>
          </w:p>
        </w:tc>
        <w:tc>
          <w:tcPr>
            <w:tcW w:w="5328" w:type="dxa"/>
            <w:tcBorders/>
          </w:tcPr>
          <w:p>
            <w:pPr>
              <w:pStyle w:val="Normal"/>
              <w:snapToGrid w:val="false"/>
              <w:rPr/>
            </w:pPr>
            <w:r>
              <w:rPr/>
            </w:r>
          </w:p>
        </w:tc>
      </w:tr>
      <w:tr>
        <w:trPr/>
        <w:tc>
          <w:tcPr>
            <w:tcW w:w="3528" w:type="dxa"/>
            <w:tcBorders/>
          </w:tcPr>
          <w:p>
            <w:pPr>
              <w:pStyle w:val="Normal"/>
              <w:rPr>
                <w:i/>
                <w:i/>
              </w:rPr>
            </w:pPr>
            <w:r>
              <w:rPr>
                <w:i/>
              </w:rPr>
              <w:t>Effective Date:</w:t>
            </w:r>
          </w:p>
        </w:tc>
        <w:tc>
          <w:tcPr>
            <w:tcW w:w="5328" w:type="dxa"/>
            <w:tcBorders/>
          </w:tcPr>
          <w:p>
            <w:pPr>
              <w:pStyle w:val="Normal"/>
              <w:rPr/>
            </w:pPr>
            <w:r>
              <w:rPr/>
              <w:t>[               ]</w:t>
            </w:r>
          </w:p>
        </w:tc>
      </w:tr>
      <w:tr>
        <w:trPr/>
        <w:tc>
          <w:tcPr>
            <w:tcW w:w="3528" w:type="dxa"/>
            <w:tcBorders/>
          </w:tcPr>
          <w:p>
            <w:pPr>
              <w:pStyle w:val="Normal"/>
              <w:snapToGrid w:val="false"/>
              <w:rPr/>
            </w:pPr>
            <w:r>
              <w:rPr/>
            </w:r>
          </w:p>
        </w:tc>
        <w:tc>
          <w:tcPr>
            <w:tcW w:w="5328" w:type="dxa"/>
            <w:tcBorders/>
          </w:tcPr>
          <w:p>
            <w:pPr>
              <w:pStyle w:val="Normal"/>
              <w:snapToGrid w:val="false"/>
              <w:rPr/>
            </w:pPr>
            <w:r>
              <w:rPr/>
            </w:r>
          </w:p>
        </w:tc>
      </w:tr>
      <w:tr>
        <w:trPr/>
        <w:tc>
          <w:tcPr>
            <w:tcW w:w="3528" w:type="dxa"/>
            <w:tcBorders/>
          </w:tcPr>
          <w:p>
            <w:pPr>
              <w:pStyle w:val="Normal"/>
              <w:rPr>
                <w:i/>
                <w:i/>
              </w:rPr>
            </w:pPr>
            <w:r>
              <w:rPr>
                <w:i/>
              </w:rPr>
              <w:t>Trade Date:</w:t>
            </w:r>
          </w:p>
        </w:tc>
        <w:tc>
          <w:tcPr>
            <w:tcW w:w="5328" w:type="dxa"/>
            <w:tcBorders/>
          </w:tcPr>
          <w:p>
            <w:pPr>
              <w:pStyle w:val="Normal"/>
              <w:rPr/>
            </w:pPr>
            <w:r>
              <w:rPr/>
              <w:t>[               ]</w:t>
            </w:r>
          </w:p>
        </w:tc>
      </w:tr>
      <w:tr>
        <w:trPr/>
        <w:tc>
          <w:tcPr>
            <w:tcW w:w="3528" w:type="dxa"/>
            <w:tcBorders/>
          </w:tcPr>
          <w:p>
            <w:pPr>
              <w:pStyle w:val="Normal"/>
              <w:snapToGrid w:val="false"/>
              <w:rPr/>
            </w:pPr>
            <w:r>
              <w:rPr/>
            </w:r>
          </w:p>
        </w:tc>
        <w:tc>
          <w:tcPr>
            <w:tcW w:w="5328" w:type="dxa"/>
            <w:tcBorders/>
          </w:tcPr>
          <w:p>
            <w:pPr>
              <w:pStyle w:val="Normal"/>
              <w:snapToGrid w:val="false"/>
              <w:rPr/>
            </w:pPr>
            <w:r>
              <w:rPr/>
            </w:r>
          </w:p>
        </w:tc>
      </w:tr>
      <w:tr>
        <w:trPr/>
        <w:tc>
          <w:tcPr>
            <w:tcW w:w="3528" w:type="dxa"/>
            <w:tcBorders/>
          </w:tcPr>
          <w:p>
            <w:pPr>
              <w:pStyle w:val="Normal"/>
              <w:rPr>
                <w:i/>
                <w:i/>
              </w:rPr>
            </w:pPr>
            <w:r>
              <w:rPr>
                <w:i/>
              </w:rPr>
              <w:t>Scheduled Termination Date:</w:t>
            </w:r>
          </w:p>
        </w:tc>
        <w:tc>
          <w:tcPr>
            <w:tcW w:w="5328" w:type="dxa"/>
            <w:tcBorders/>
          </w:tcPr>
          <w:p>
            <w:pPr>
              <w:pStyle w:val="Normal"/>
              <w:rPr/>
            </w:pPr>
            <w:r>
              <w:rPr/>
              <w:t>[               ]</w:t>
            </w:r>
          </w:p>
        </w:tc>
      </w:tr>
      <w:tr>
        <w:trPr/>
        <w:tc>
          <w:tcPr>
            <w:tcW w:w="3528" w:type="dxa"/>
            <w:tcBorders/>
          </w:tcPr>
          <w:p>
            <w:pPr>
              <w:pStyle w:val="Normal"/>
              <w:snapToGrid w:val="false"/>
              <w:rPr/>
            </w:pPr>
            <w:r>
              <w:rPr/>
            </w:r>
          </w:p>
        </w:tc>
        <w:tc>
          <w:tcPr>
            <w:tcW w:w="5328" w:type="dxa"/>
            <w:tcBorders/>
          </w:tcPr>
          <w:p>
            <w:pPr>
              <w:pStyle w:val="Normal"/>
              <w:snapToGrid w:val="false"/>
              <w:rPr/>
            </w:pPr>
            <w:r>
              <w:rPr/>
            </w:r>
          </w:p>
        </w:tc>
      </w:tr>
      <w:tr>
        <w:trPr/>
        <w:tc>
          <w:tcPr>
            <w:tcW w:w="3528" w:type="dxa"/>
            <w:tcBorders/>
          </w:tcPr>
          <w:p>
            <w:pPr>
              <w:pStyle w:val="Normal"/>
              <w:rPr>
                <w:i/>
                <w:i/>
              </w:rPr>
            </w:pPr>
            <w:r>
              <w:rPr>
                <w:i/>
              </w:rPr>
              <w:t>Notional Amount:</w:t>
            </w:r>
          </w:p>
        </w:tc>
        <w:tc>
          <w:tcPr>
            <w:tcW w:w="5328" w:type="dxa"/>
            <w:tcBorders/>
          </w:tcPr>
          <w:p>
            <w:pPr>
              <w:pStyle w:val="Normal"/>
              <w:rPr/>
            </w:pPr>
            <w:r>
              <w:rPr/>
              <w:t>[                 ]</w:t>
            </w:r>
          </w:p>
        </w:tc>
      </w:tr>
      <w:tr>
        <w:trPr/>
        <w:tc>
          <w:tcPr>
            <w:tcW w:w="3528" w:type="dxa"/>
            <w:tcBorders/>
          </w:tcPr>
          <w:p>
            <w:pPr>
              <w:pStyle w:val="Normal"/>
              <w:snapToGrid w:val="false"/>
              <w:rPr/>
            </w:pPr>
            <w:r>
              <w:rPr/>
            </w:r>
          </w:p>
        </w:tc>
        <w:tc>
          <w:tcPr>
            <w:tcW w:w="5328" w:type="dxa"/>
            <w:tcBorders/>
          </w:tcPr>
          <w:p>
            <w:pPr>
              <w:pStyle w:val="Normal"/>
              <w:snapToGrid w:val="false"/>
              <w:rPr/>
            </w:pPr>
            <w:r>
              <w:rPr/>
            </w:r>
          </w:p>
        </w:tc>
      </w:tr>
      <w:tr>
        <w:trPr/>
        <w:tc>
          <w:tcPr>
            <w:tcW w:w="3528" w:type="dxa"/>
            <w:tcBorders/>
          </w:tcPr>
          <w:p>
            <w:pPr>
              <w:pStyle w:val="Normal"/>
              <w:rPr>
                <w:i/>
                <w:i/>
              </w:rPr>
            </w:pPr>
            <w:r>
              <w:rPr>
                <w:i/>
              </w:rPr>
              <w:t>Payment Dates:</w:t>
            </w:r>
          </w:p>
        </w:tc>
        <w:tc>
          <w:tcPr>
            <w:tcW w:w="5328" w:type="dxa"/>
            <w:tcBorders/>
          </w:tcPr>
          <w:p>
            <w:pPr>
              <w:pStyle w:val="Normal"/>
              <w:rPr/>
            </w:pPr>
            <w:r>
              <w:rPr/>
              <w:t>[               ]</w:t>
            </w:r>
          </w:p>
        </w:tc>
      </w:tr>
      <w:tr>
        <w:trPr/>
        <w:tc>
          <w:tcPr>
            <w:tcW w:w="3528" w:type="dxa"/>
            <w:tcBorders/>
          </w:tcPr>
          <w:p>
            <w:pPr>
              <w:pStyle w:val="Normal"/>
              <w:snapToGrid w:val="false"/>
              <w:rPr/>
            </w:pPr>
            <w:r>
              <w:rPr/>
            </w:r>
          </w:p>
        </w:tc>
        <w:tc>
          <w:tcPr>
            <w:tcW w:w="5328" w:type="dxa"/>
            <w:tcBorders/>
          </w:tcPr>
          <w:p>
            <w:pPr>
              <w:pStyle w:val="Normal"/>
              <w:snapToGrid w:val="false"/>
              <w:rPr/>
            </w:pPr>
            <w:r>
              <w:rPr/>
            </w:r>
          </w:p>
        </w:tc>
      </w:tr>
      <w:tr>
        <w:trPr/>
        <w:tc>
          <w:tcPr>
            <w:tcW w:w="3528" w:type="dxa"/>
            <w:tcBorders/>
          </w:tcPr>
          <w:p>
            <w:pPr>
              <w:pStyle w:val="Normal"/>
              <w:rPr>
                <w:i/>
                <w:i/>
              </w:rPr>
            </w:pPr>
            <w:r>
              <w:rPr>
                <w:i/>
              </w:rPr>
              <w:t>[Cap][Floor] Premium:</w:t>
            </w:r>
          </w:p>
        </w:tc>
        <w:tc>
          <w:tcPr>
            <w:tcW w:w="5328" w:type="dxa"/>
            <w:tcBorders/>
          </w:tcPr>
          <w:p>
            <w:pPr>
              <w:pStyle w:val="Normal"/>
              <w:rPr/>
            </w:pPr>
            <w:r>
              <w:rPr/>
              <w:t>[                ]</w:t>
            </w:r>
          </w:p>
        </w:tc>
      </w:tr>
      <w:tr>
        <w:trPr/>
        <w:tc>
          <w:tcPr>
            <w:tcW w:w="3528" w:type="dxa"/>
            <w:tcBorders/>
          </w:tcPr>
          <w:p>
            <w:pPr>
              <w:pStyle w:val="Normal"/>
              <w:snapToGrid w:val="false"/>
              <w:rPr/>
            </w:pPr>
            <w:r>
              <w:rPr/>
            </w:r>
          </w:p>
        </w:tc>
        <w:tc>
          <w:tcPr>
            <w:tcW w:w="5328" w:type="dxa"/>
            <w:tcBorders/>
          </w:tcPr>
          <w:p>
            <w:pPr>
              <w:pStyle w:val="Normal"/>
              <w:snapToGrid w:val="false"/>
              <w:rPr/>
            </w:pPr>
            <w:r>
              <w:rPr/>
            </w:r>
          </w:p>
        </w:tc>
      </w:tr>
      <w:tr>
        <w:trPr/>
        <w:tc>
          <w:tcPr>
            <w:tcW w:w="3528" w:type="dxa"/>
            <w:tcBorders/>
          </w:tcPr>
          <w:p>
            <w:pPr>
              <w:pStyle w:val="Normal"/>
              <w:rPr>
                <w:i/>
                <w:i/>
              </w:rPr>
            </w:pPr>
            <w:r>
              <w:rPr>
                <w:i/>
              </w:rPr>
              <w:t>Number of barrels of oil:</w:t>
            </w:r>
          </w:p>
        </w:tc>
        <w:tc>
          <w:tcPr>
            <w:tcW w:w="5328" w:type="dxa"/>
            <w:tcBorders/>
          </w:tcPr>
          <w:p>
            <w:pPr>
              <w:pStyle w:val="Normal"/>
              <w:rPr/>
            </w:pPr>
            <w:r>
              <w:rPr/>
              <w:t>[                ]</w:t>
            </w:r>
          </w:p>
        </w:tc>
      </w:tr>
      <w:tr>
        <w:trPr/>
        <w:tc>
          <w:tcPr>
            <w:tcW w:w="3528" w:type="dxa"/>
            <w:tcBorders/>
          </w:tcPr>
          <w:p>
            <w:pPr>
              <w:pStyle w:val="Normal"/>
              <w:snapToGrid w:val="false"/>
              <w:rPr/>
            </w:pPr>
            <w:r>
              <w:rPr/>
            </w:r>
          </w:p>
        </w:tc>
        <w:tc>
          <w:tcPr>
            <w:tcW w:w="5328" w:type="dxa"/>
            <w:tcBorders/>
          </w:tcPr>
          <w:p>
            <w:pPr>
              <w:pStyle w:val="Normal"/>
              <w:snapToGrid w:val="false"/>
              <w:rPr/>
            </w:pPr>
            <w:r>
              <w:rPr/>
            </w:r>
          </w:p>
        </w:tc>
      </w:tr>
      <w:tr>
        <w:trPr/>
        <w:tc>
          <w:tcPr>
            <w:tcW w:w="3528" w:type="dxa"/>
            <w:tcBorders/>
          </w:tcPr>
          <w:p>
            <w:pPr>
              <w:pStyle w:val="Normal"/>
              <w:rPr>
                <w:i/>
                <w:i/>
              </w:rPr>
            </w:pPr>
            <w:r>
              <w:rPr>
                <w:i/>
              </w:rPr>
              <w:t>Price per barrel of oil:</w:t>
            </w:r>
          </w:p>
        </w:tc>
        <w:tc>
          <w:tcPr>
            <w:tcW w:w="5328" w:type="dxa"/>
            <w:tcBorders/>
          </w:tcPr>
          <w:p>
            <w:pPr>
              <w:pStyle w:val="Normal"/>
              <w:rPr/>
            </w:pPr>
            <w:r>
              <w:rPr/>
              <w:t>[                 ]</w:t>
            </w:r>
          </w:p>
        </w:tc>
      </w:tr>
    </w:tbl>
    <w:p>
      <w:pPr>
        <w:pStyle w:val="Normal"/>
        <w:jc w:val="center"/>
        <w:rPr/>
      </w:pPr>
      <w:r>
        <w:rPr/>
      </w:r>
    </w:p>
    <w:p>
      <w:pPr>
        <w:pStyle w:val="Normal"/>
        <w:jc w:val="center"/>
        <w:rPr/>
      </w:pPr>
      <w:r>
        <w:rPr/>
      </w:r>
    </w:p>
    <w:p>
      <w:pPr>
        <w:pStyle w:val="Normal"/>
        <w:rPr/>
      </w:pPr>
      <w:r>
        <w:rPr/>
        <w:t>Agreed and Accepted by:</w:t>
      </w:r>
    </w:p>
    <w:p>
      <w:pPr>
        <w:pStyle w:val="Normal"/>
        <w:rPr/>
      </w:pPr>
      <w:r>
        <w:rPr/>
      </w:r>
    </w:p>
    <w:p>
      <w:pPr>
        <w:pStyle w:val="Normal"/>
        <w:rPr/>
      </w:pPr>
      <w:r>
        <w:rPr/>
        <w:t>[ENRON CORP.]</w:t>
      </w:r>
    </w:p>
    <w:p>
      <w:pPr>
        <w:pStyle w:val="Normal"/>
        <w:rPr/>
      </w:pPr>
      <w:r>
        <w:rPr/>
        <w:t>[DELTA CORP]</w:t>
      </w:r>
    </w:p>
    <w:p>
      <w:pPr>
        <w:pStyle w:val="Normal"/>
        <w:rPr/>
      </w:pPr>
      <w:r>
        <w:rPr/>
        <w:t>[CITIBANK, N.A.]</w:t>
      </w:r>
    </w:p>
    <w:sectPr>
      <w:footerReference w:type="default" r:id="rId3"/>
      <w:footerReference w:type="first" r:id="rId4"/>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harterITC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lowerRoman"/>
      <w:lvlText w:val="(%1)"/>
      <w:lvlJc w:val="start"/>
      <w:pPr>
        <w:tabs>
          <w:tab w:val="num" w:pos="720"/>
        </w:tabs>
        <w:ind w:start="720" w:hanging="720"/>
      </w:pPr>
      <w:rPr/>
    </w:lvl>
  </w:abstractNum>
  <w:abstractNum w:abstractNumId="5">
    <w:lvl w:ilvl="0">
      <w:start w:val="1"/>
      <w:numFmt w:val="lowerRoman"/>
      <w:lvlText w:val="(%1)"/>
      <w:lvlJc w:val="start"/>
      <w:pPr>
        <w:tabs>
          <w:tab w:val="num" w:pos="720"/>
        </w:tabs>
        <w:ind w:start="720" w:hanging="720"/>
      </w:pPr>
      <w:rPr/>
    </w:lvl>
  </w:abstractNum>
  <w:abstractNum w:abstractNumId="6">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8"/>
    </w:rPr>
  </w:style>
  <w:style w:type="paragraph" w:styleId="Heading2">
    <w:name w:val="heading 2"/>
    <w:basedOn w:val="Normal"/>
    <w:next w:val="Normal"/>
    <w:qFormat/>
    <w:pPr>
      <w:keepNext w:val="true"/>
      <w:numPr>
        <w:ilvl w:val="1"/>
        <w:numId w:val="1"/>
      </w:numPr>
      <w:jc w:val="center"/>
      <w:outlineLvl w:val="1"/>
    </w:pPr>
    <w:rPr>
      <w:b/>
    </w:rPr>
  </w:style>
  <w:style w:type="character" w:styleId="WW8Num1z0">
    <w:name w:val="WW8Num1z0"/>
    <w:qFormat/>
    <w:rPr/>
  </w:style>
  <w:style w:type="character" w:styleId="WW8Num2z0">
    <w:name w:val="WW8Num2z0"/>
    <w:qFormat/>
    <w:rPr>
      <w:rFonts w:ascii="Times New Roman" w:hAnsi="Times New Roman" w:cs="Times New Roman"/>
      <w:b w:val="false"/>
      <w:i w:val="false"/>
      <w:sz w:val="24"/>
      <w:u w:val="none"/>
    </w:rPr>
  </w:style>
  <w:style w:type="character" w:styleId="WW8Num3z0">
    <w:name w:val="WW8Num3z0"/>
    <w:qFormat/>
    <w:rPr/>
  </w:style>
  <w:style w:type="character" w:styleId="WW8Num4z0">
    <w:name w:val="WW8Num4z0"/>
    <w:qFormat/>
    <w:rPr>
      <w:rFonts w:ascii="Times New Roman" w:hAnsi="Times New Roman" w:cs="Times New Roman"/>
      <w:b w:val="false"/>
      <w:i w:val="false"/>
      <w:sz w:val="24"/>
      <w:u w:val="none"/>
    </w:rPr>
  </w:style>
  <w:style w:type="character" w:styleId="WW8Num6z0">
    <w:name w:val="WW8Num6z0"/>
    <w:qFormat/>
    <w:rPr/>
  </w:style>
  <w:style w:type="character" w:styleId="WW8Num7z0">
    <w:name w:val="WW8Num7z0"/>
    <w:qFormat/>
    <w:rPr>
      <w:rFonts w:ascii="Times New Roman" w:hAnsi="Times New Roman" w:cs="Times New Roman"/>
      <w:b w:val="false"/>
      <w:i w:val="false"/>
      <w:sz w:val="24"/>
      <w:u w:val="none"/>
    </w:rPr>
  </w:style>
  <w:style w:type="character" w:styleId="WW8Num8z0">
    <w:name w:val="WW8Num8z0"/>
    <w:qFormat/>
    <w:rPr/>
  </w:style>
  <w:style w:type="character" w:styleId="WW8Num9z0">
    <w:name w:val="WW8Num9z0"/>
    <w:qFormat/>
    <w:rPr>
      <w:rFonts w:ascii="Times New Roman" w:hAnsi="Times New Roman" w:cs="Times New Roman"/>
      <w:b w:val="false"/>
      <w:i w:val="false"/>
      <w:sz w:val="24"/>
      <w:u w:val="none"/>
    </w:rPr>
  </w:style>
  <w:style w:type="character" w:styleId="WW8Num10z0">
    <w:name w:val="WW8Num10z0"/>
    <w:qFormat/>
    <w:rPr>
      <w:rFonts w:ascii="Times New Roman" w:hAnsi="Times New Roman" w:cs="Times New Roman"/>
      <w:b w:val="false"/>
      <w:i w:val="false"/>
      <w:sz w:val="24"/>
      <w:u w:val="none"/>
    </w:rPr>
  </w:style>
  <w:style w:type="character" w:styleId="WW8Num11z0">
    <w:name w:val="WW8Num11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odyTextIndent2">
    <w:name w:val="Body Text Indent 2"/>
    <w:basedOn w:val="Normal"/>
    <w:qFormat/>
    <w:pPr>
      <w:tabs>
        <w:tab w:val="clear" w:pos="720"/>
        <w:tab w:val="left" w:pos="1080" w:leader="none"/>
      </w:tabs>
      <w:ind w:hanging="1710" w:start="270" w:end="0"/>
      <w:jc w:val="both"/>
    </w:pPr>
    <w:rPr/>
  </w:style>
  <w:style w:type="paragraph" w:styleId="BodyText2">
    <w:name w:val="Body Text 2"/>
    <w:basedOn w:val="Normal"/>
    <w:qFormat/>
    <w:pPr/>
    <w:rPr>
      <w:b/>
      <w:sz w:val="22"/>
    </w:rPr>
  </w:style>
  <w:style w:type="paragraph" w:styleId="TableText">
    <w:name w:val="Table Text"/>
    <w:basedOn w:val="Normal"/>
    <w:qFormat/>
    <w:pPr>
      <w:widowControl w:val="false"/>
      <w:spacing w:before="40" w:after="40"/>
    </w:pPr>
    <w:rPr>
      <w:rFonts w:ascii="CharterITC BT" w:hAnsi="CharterITC BT" w:cs="CharterITC BT"/>
      <w:sz w:val="20"/>
    </w:rPr>
  </w:style>
  <w:style w:type="paragraph" w:styleId="BodyTextIndent">
    <w:name w:val="Body Text Indent"/>
    <w:basedOn w:val="Normal"/>
    <w:pPr>
      <w:ind w:hanging="0" w:start="72" w:end="0"/>
    </w:pPr>
    <w:rPr>
      <w:rFonts w:ascii="CharterITC BT" w:hAnsi="CharterITC BT" w:cs="CharterITC BT"/>
      <w:sz w:val="22"/>
      <w:lang w:val="en-GB"/>
    </w:rPr>
  </w:style>
  <w:style w:type="paragraph" w:styleId="BodyText3">
    <w:name w:val="Body Text 3"/>
    <w:basedOn w:val="Normal"/>
    <w:qFormat/>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2000-04-24T16:12:00Z</dcterms:created>
  <dc:creator>Preferred Customer</dc:creator>
  <dc:description/>
  <dc:language>en-CA</dc:language>
  <cp:lastModifiedBy>Amanda Angelini</cp:lastModifiedBy>
  <cp:lastPrinted>2000-04-27T18:05:00Z</cp:lastPrinted>
  <dcterms:modified xsi:type="dcterms:W3CDTF">2000-05-01T15:30:00Z</dcterms:modified>
  <cp:revision>19</cp:revision>
  <dc:subject/>
  <dc:title>Draft 1/20/00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HID">
    <vt:lpwstr/>
  </property>
</Properties>
</file>