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TERM SHEET OUTLINE FOR</w:t>
      </w:r>
    </w:p>
    <w:p>
      <w:pPr>
        <w:pStyle w:val="Subtitle"/>
        <w:rPr/>
      </w:pPr>
      <w:r>
        <w:rPr/>
        <w:t>UNIT CONTINGENT PPA’s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6048"/>
      </w:tblGrid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Project: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    Number of turbines?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Fuel type?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Simple or combined cycle?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Cogeneration?</w:t>
            </w:r>
          </w:p>
        </w:tc>
      </w:tr>
    </w:tbl>
    <w:p>
      <w:pPr>
        <w:pStyle w:val="Normal"/>
        <w:rPr>
          <w:sz w:val="24"/>
          <w:u w:val="none"/>
        </w:rPr>
      </w:pPr>
      <w:r>
        <w:rPr>
          <w:sz w:val="24"/>
          <w:u w:val="none"/>
        </w:rPr>
      </w:r>
    </w:p>
    <w:tbl>
      <w:tblPr>
        <w:tblW w:w="156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6048"/>
        <w:gridCol w:w="6048"/>
      </w:tblGrid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Buyer: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Seller: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Term/Extension Options: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Contract Capacity: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How frequently determined?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Correction factors (Ambient Conditions/OEM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</w:t>
            </w:r>
            <w:r>
              <w:rPr>
                <w:sz w:val="24"/>
                <w:u w:val="none"/>
              </w:rPr>
              <w:t>Standards/Measurement tolerances)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Which party pays for tests?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Base Capacity Charge: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[The amount paid for right to call for energy]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Energy Charge: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Heat Rate: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[The amount paid for each scheduled MWh that is delivered]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[Ratio of Fuel Consumed to Energy Generated]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Will Seller Guaranty?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Will Buyer assume the risk?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Variable O&amp;M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[Charge payable to cover operation and maintenance expenses – typically charged as a specified amount for each unit of energy scheduled and delivered to Buyer  (including energy delivered during ramp up and ramp down periods).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Start-Up Charge: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[Charge payable for each start of each Project turbine (often times the start charge will escalate along with the number of start to act as a disincentive to numerous starts)]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Maximum Number of Starts?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Heat Rate Bonus/Rebate: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BodyTextIndent2"/>
              <w:numPr>
                <w:ilvl w:val="0"/>
                <w:numId w:val="2"/>
              </w:numPr>
              <w:rPr/>
            </w:pPr>
            <w:r>
              <w:rPr/>
              <w:t>If Seller is to be responsible for guaranteeing a particular    Heat Rate, will there be a bonus for attaining an average heat rate which is lower, or a penalty for having a heat rate that is higher, than the guaranteed rate?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If the Heat Rate is too high does it trigger an event of default?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What is the guaranteed or targeted Heat Rate?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Point of Delivery: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This is a critical point and must be described with great specificity.  Consult with Elizabeth Sager and/or Kevin Presto.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Fuel Supply: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Which Party is responsible for fuel supply?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What is the point of delivery for fuel?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What results from a failure to deliver fuel?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Any minimum pressure level required?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Fuel Procurement and Transportation:</w:t>
            </w:r>
          </w:p>
        </w:tc>
        <w:tc>
          <w:tcPr>
            <w:tcW w:w="6048" w:type="dxa"/>
            <w:tcBorders/>
          </w:tcPr>
          <w:p>
            <w:pPr>
              <w:pStyle w:val="BodyText2"/>
              <w:numPr>
                <w:ilvl w:val="0"/>
                <w:numId w:val="2"/>
              </w:numPr>
              <w:rPr/>
            </w:pPr>
            <w:r>
              <w:rPr/>
              <w:t>Which party is responsible for arranging for the procurement (including any imbalance costs) and transportation (including all demand charges) of fuel to the fuel delivery point?</w:t>
            </w:r>
          </w:p>
          <w:p>
            <w:pPr>
              <w:pStyle w:val="BodyText2"/>
              <w:numPr>
                <w:ilvl w:val="0"/>
                <w:numId w:val="2"/>
              </w:numPr>
              <w:rPr/>
            </w:pPr>
            <w:r>
              <w:rPr/>
              <w:t>Which party is responsible for the costs associated with construction and maintenance associated with interconnecting the Project with the fuel supplier?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Reserve Capacity/Ancillary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Services/Exclusivity</w:t>
            </w:r>
          </w:p>
        </w:tc>
        <w:tc>
          <w:tcPr>
            <w:tcW w:w="6048" w:type="dxa"/>
            <w:tcBorders/>
          </w:tcPr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Will Seller have the ability to sell reserve capacity, ancillary services or energy from the project to other parties?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Performance Requirements: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What is the required level of facility availability?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How is Availability calculated?  Method of calculation can dramatically affect bonus/damages payable.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Typically a failure to deliver energy because of the following events is an excused failure and does not affect the Project “availability”:</w:t>
            </w:r>
          </w:p>
          <w:p>
            <w:pPr>
              <w:pStyle w:val="Normal"/>
              <w:tabs>
                <w:tab w:val="left" w:pos="720" w:leader="none"/>
              </w:tabs>
              <w:ind w:start="360" w:end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(i)    Force Majeure;</w:t>
            </w:r>
          </w:p>
          <w:p>
            <w:pPr>
              <w:pStyle w:val="Normal"/>
              <w:ind w:start="360" w:end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(ii)   Loss of firm transport or transmission;</w:t>
            </w:r>
          </w:p>
          <w:p>
            <w:pPr>
              <w:pStyle w:val="BodyTextIndent"/>
              <w:ind w:hanging="270" w:start="630" w:end="0"/>
              <w:rPr/>
            </w:pPr>
            <w:r>
              <w:rPr/>
              <w:t>(iii)  Default of Buyer are excused failures; and</w:t>
            </w:r>
          </w:p>
          <w:p>
            <w:pPr>
              <w:pStyle w:val="BodyTextIndent"/>
              <w:ind w:hanging="270" w:start="630" w:end="0"/>
              <w:rPr/>
            </w:pPr>
            <w:r>
              <w:rPr/>
              <w:t>(iv)  Failure of Buyer to provide fuel (assuming Buyer is responsible for same).</w:t>
            </w:r>
          </w:p>
          <w:p>
            <w:pPr>
              <w:pStyle w:val="BodyTextIndent3"/>
              <w:numPr>
                <w:ilvl w:val="0"/>
                <w:numId w:val="2"/>
              </w:numPr>
              <w:rPr/>
            </w:pPr>
            <w:r>
              <w:rPr/>
              <w:t>Does the required “availability” vary for each month peaking plants, for example, typically value the summer months winter months which are typically used for maintenance and repair)?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If “availability” is too low, does it trigger an event of default?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tabs>
                <w:tab w:val="clear" w:pos="720"/>
                <w:tab w:val="left" w:pos="2790" w:leader="none"/>
              </w:tabs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tabs>
                <w:tab w:val="clear" w:pos="720"/>
                <w:tab w:val="left" w:pos="2790" w:leader="none"/>
              </w:tabs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Capacity Bonus/Penalty:</w:t>
            </w:r>
          </w:p>
        </w:tc>
        <w:tc>
          <w:tcPr>
            <w:tcW w:w="6048" w:type="dxa"/>
            <w:tcBorders/>
          </w:tcPr>
          <w:p>
            <w:pPr>
              <w:pStyle w:val="Normal"/>
              <w:snapToGrid w:val="false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If the Project’s “availability” is above or below the required threshold, is there a corresponding bonus/penalty payable to/from Seller (as the case may be)?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Bonus/Damage multiplier?</w:t>
            </w:r>
          </w:p>
          <w:p>
            <w:pPr>
              <w:pStyle w:val="Normal"/>
              <w:tabs>
                <w:tab w:val="clear" w:pos="720"/>
                <w:tab w:val="left" w:pos="90" w:leader="none"/>
              </w:tabs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How frequently is availability calculated</w:t>
            </w:r>
          </w:p>
          <w:p>
            <w:pPr>
              <w:pStyle w:val="Normal"/>
              <w:ind w:start="180" w:end="0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(monthly/annually)?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Bonus/Damage Cap?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Scheduling and Dispatch: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Maintenance: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Force Majeure: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Taxes: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Replacement Power: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Excess Energy: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Change in Law: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Metering:</w:t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  <w:tc>
          <w:tcPr>
            <w:tcW w:w="60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Required notification?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Minimum energy block size?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Minimum increments?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Maximum number of run hours (usually limited by the air permit)?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Ramp Rate during starts and stop?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Minimum number of hours?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Minimum interval of idle time between starts?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On-Peak vs. Off-Peak hours?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    When will major and routine maintenance take place?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This section is particularly important.  Force Majeure should include: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Acts of God (including lightning, fires, earthquake, landslide, tornado and floods)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Civil Disturbance,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Sabotage,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Explosion,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Riot,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War,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Insurrection,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Action or Restraint by count order or public or governmental authority (so long as seller has not applied for or assisted in the application for),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Strikes, labor disputes, labor or material shortages or other force majeure events effecting the Project operator, fuel supplier and/or the transmission provider.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BodyTextIndent2"/>
              <w:rPr/>
            </w:pPr>
            <w:r>
              <w:rPr/>
              <w:t>- Which party is responsible for existing taxes on fuel and energy?</w:t>
            </w:r>
          </w:p>
          <w:p>
            <w:pPr>
              <w:pStyle w:val="Normal"/>
              <w:ind w:hanging="180" w:start="180" w:end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If the responsibility is shared where is the dividing line (Typically the point of delivery)?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What about taxes on the Project?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 Which party bears the risk of new taxes?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 the parties want Seller to have the right/obligation to supply from the market?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How is excess energy treated?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Which party bears the financial risk associated with any change in law which has an impact on how the Project is operated and maintained?</w:t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Which party is responsible for fuel metering/energy metering?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Which party is responsible for maintenance, testing and calibration of the meters?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Check meters permitted/required?</w:t>
            </w:r>
          </w:p>
        </w:tc>
        <w:tc>
          <w:tcPr>
            <w:tcW w:w="604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</w:r>
          </w:p>
        </w:tc>
      </w:tr>
    </w:tbl>
    <w:p>
      <w:pPr>
        <w:pStyle w:val="Footer"/>
        <w:rPr>
          <w:rStyle w:val="PageNumber"/>
          <w:sz w:val="16"/>
          <w:u w:val="none"/>
        </w:rPr>
      </w:pPr>
      <w:r>
        <w:rPr/>
      </w:r>
    </w:p>
    <w:p>
      <w:pPr>
        <w:pStyle w:val="Footer"/>
        <w:rPr>
          <w:rStyle w:val="PageNumber"/>
          <w:sz w:val="16"/>
          <w:u w:val="none"/>
        </w:rPr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2160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/mnt/main-storage/datasets/enron-docs/doc/Term_Sheet_Outline_for_Unit_Contingent_PPA_s.doc</w:t>
    </w:r>
    <w:r>
      <w:rPr>
        <w:sz w:val="16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  <w:p>
    <w:pPr>
      <w:pStyle w:val="Foo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u w:val="single"/>
      <w:lang w:val="en-US" w:eastAsia="zh-CN" w:bidi="hi-IN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none"/>
    </w:rPr>
  </w:style>
  <w:style w:type="paragraph" w:styleId="BodyText">
    <w:name w:val="Body Text"/>
    <w:basedOn w:val="Normal"/>
    <w:pPr/>
    <w:rPr>
      <w:i/>
      <w:sz w:val="24"/>
      <w:u w:val="non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sz w:val="24"/>
      <w:u w:val="none"/>
    </w:rPr>
  </w:style>
  <w:style w:type="paragraph" w:styleId="BodyTextIndent">
    <w:name w:val="Body Text Indent"/>
    <w:basedOn w:val="Normal"/>
    <w:pPr>
      <w:ind w:hanging="0" w:start="90" w:end="0"/>
    </w:pPr>
    <w:rPr>
      <w:sz w:val="24"/>
      <w:u w:val="none"/>
    </w:rPr>
  </w:style>
  <w:style w:type="paragraph" w:styleId="BodyTextIndent2">
    <w:name w:val="Body Text Indent 2"/>
    <w:basedOn w:val="Normal"/>
    <w:qFormat/>
    <w:pPr>
      <w:ind w:hanging="180" w:start="180" w:end="0"/>
    </w:pPr>
    <w:rPr>
      <w:sz w:val="24"/>
      <w:u w:val="none"/>
    </w:rPr>
  </w:style>
  <w:style w:type="paragraph" w:styleId="BodyTextIndent3">
    <w:name w:val="Body Text Indent 3"/>
    <w:basedOn w:val="Normal"/>
    <w:qFormat/>
    <w:pPr>
      <w:ind w:hanging="360" w:start="360" w:end="0"/>
    </w:pPr>
    <w:rPr>
      <w:sz w:val="24"/>
      <w:u w:val="non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UtilCo Letter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2000-01-20T20:34:00Z</dcterms:created>
  <dc:creator>UtiliCorp United</dc:creator>
  <dc:description/>
  <dc:language>en-CA</dc:language>
  <cp:lastModifiedBy>szisman</cp:lastModifiedBy>
  <cp:lastPrinted>2000-01-20T17:12:00Z</cp:lastPrinted>
  <dcterms:modified xsi:type="dcterms:W3CDTF">2000-01-20T20:42:00Z</dcterms:modified>
  <cp:revision>4</cp:revision>
  <dc:subject/>
  <dc:title>February 17, 1994</dc:title>
</cp:coreProperties>
</file>