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Legislative Term Sheet</w:t>
      </w:r>
    </w:p>
    <w:p>
      <w:pPr>
        <w:pStyle w:val="Normal"/>
        <w:jc w:val="center"/>
        <w:rPr>
          <w:b/>
          <w:bCs/>
        </w:rPr>
      </w:pPr>
      <w:r>
        <w:rPr>
          <w:b/>
          <w:bCs/>
        </w:rPr>
      </w:r>
    </w:p>
    <w:p>
      <w:pPr>
        <w:pStyle w:val="Heading1"/>
        <w:ind w:hanging="0" w:start="0"/>
        <w:rPr/>
      </w:pPr>
      <w:r>
        <w:rPr/>
        <w:t>Purpose of the Act</w:t>
      </w:r>
    </w:p>
    <w:p>
      <w:pPr>
        <w:pStyle w:val="Normal"/>
        <w:rPr>
          <w:sz w:val="20"/>
        </w:rPr>
      </w:pPr>
      <w:r>
        <w:rPr>
          <w:sz w:val="20"/>
        </w:rPr>
        <w:t>The Act will help further the goal of enabling broadband access for every household and business premise.  The Act will provide incentives for industry and consumers to develop and install modern communications infrastructure, using fiber optic cable or alternative wired/wireless technology systems.</w:t>
      </w:r>
    </w:p>
    <w:p>
      <w:pPr>
        <w:pStyle w:val="Normal"/>
        <w:rPr>
          <w:sz w:val="20"/>
        </w:rPr>
      </w:pPr>
      <w:r>
        <w:rPr>
          <w:sz w:val="20"/>
        </w:rPr>
      </w:r>
    </w:p>
    <w:p>
      <w:pPr>
        <w:pStyle w:val="Normal"/>
        <w:rPr>
          <w:b/>
          <w:bCs/>
          <w:sz w:val="20"/>
        </w:rPr>
      </w:pPr>
      <w:r>
        <w:rPr>
          <w:b/>
          <w:bCs/>
          <w:sz w:val="20"/>
        </w:rPr>
        <w:t>Elements of the Act</w:t>
      </w:r>
    </w:p>
    <w:p>
      <w:pPr>
        <w:pStyle w:val="Heading2"/>
        <w:ind w:hanging="0" w:start="0"/>
        <w:rPr/>
      </w:pPr>
      <w:r>
        <w:rPr/>
        <w:t>Tax Incentives:</w:t>
      </w:r>
      <w:r>
        <w:rPr>
          <w:u w:val="none"/>
        </w:rPr>
        <w:t xml:space="preserve">  The Act would include several tax incentive proposals that would encourage last mile and/or “middle mile” infrastructure development.  (Middle mile refers to establishing points of presence along high-speed internet backbones).  </w:t>
      </w:r>
    </w:p>
    <w:p>
      <w:pPr>
        <w:pStyle w:val="Heading2"/>
        <w:numPr>
          <w:ilvl w:val="0"/>
          <w:numId w:val="3"/>
        </w:numPr>
        <w:rPr>
          <w:u w:val="none"/>
        </w:rPr>
      </w:pPr>
      <w:r>
        <w:rPr>
          <w:u w:val="none"/>
        </w:rPr>
        <w:t>“</w:t>
      </w:r>
      <w:r>
        <w:rPr>
          <w:u w:val="none"/>
        </w:rPr>
        <w:t>The Broadband Accelerated Cost Recovery System” which will be modeled on existing law to provide faster write-offs and larger deductions for high-speed telecommunications equipment.</w:t>
      </w:r>
    </w:p>
    <w:p>
      <w:pPr>
        <w:pStyle w:val="Heading2"/>
        <w:numPr>
          <w:ilvl w:val="0"/>
          <w:numId w:val="3"/>
        </w:numPr>
        <w:rPr>
          <w:u w:val="none"/>
        </w:rPr>
      </w:pPr>
      <w:r>
        <w:rPr>
          <w:u w:val="none"/>
        </w:rPr>
        <w:t xml:space="preserve">The “Broadband Investment Tax Credit” which will provide an immediate tax credit for investment that stimulates the manufacture of advanced telecomminications equipment.  </w:t>
      </w:r>
    </w:p>
    <w:p>
      <w:pPr>
        <w:pStyle w:val="Heading2"/>
        <w:numPr>
          <w:ilvl w:val="0"/>
          <w:numId w:val="3"/>
        </w:numPr>
        <w:rPr>
          <w:u w:val="none"/>
        </w:rPr>
      </w:pPr>
      <w:r>
        <w:rPr>
          <w:u w:val="none"/>
        </w:rPr>
        <w:t>“</w:t>
      </w:r>
      <w:r>
        <w:rPr>
          <w:u w:val="none"/>
        </w:rPr>
        <w:t xml:space="preserve">Safe harbor leasing” for advanced telecommunications equipment that will allow a company that qualifies for the “Broadband Investment Tax Credit” to sell the credit to a taxpaying company.   </w:t>
      </w:r>
    </w:p>
    <w:p>
      <w:pPr>
        <w:pStyle w:val="Heading2"/>
        <w:numPr>
          <w:ilvl w:val="0"/>
          <w:numId w:val="3"/>
        </w:numPr>
        <w:rPr>
          <w:u w:val="none"/>
        </w:rPr>
      </w:pPr>
      <w:r>
        <w:rPr>
          <w:u w:val="none"/>
        </w:rPr>
        <w:t>A new class of tax-free telecom infrastructure development bonds to be made available for use involving a local telecom build-out, following the example of industrial development bonds.</w:t>
      </w:r>
    </w:p>
    <w:p>
      <w:pPr>
        <w:pStyle w:val="Heading2"/>
        <w:numPr>
          <w:ilvl w:val="0"/>
          <w:numId w:val="3"/>
        </w:numPr>
        <w:rPr>
          <w:u w:val="none"/>
        </w:rPr>
      </w:pPr>
      <w:r>
        <w:rPr>
          <w:u w:val="none"/>
        </w:rPr>
        <w:t>Expansion of the current Research and Development Tax Credit to further enable the development of new communications technologies.</w:t>
      </w:r>
    </w:p>
    <w:p>
      <w:pPr>
        <w:pStyle w:val="Normal"/>
        <w:numPr>
          <w:ilvl w:val="0"/>
          <w:numId w:val="3"/>
        </w:numPr>
        <w:rPr>
          <w:sz w:val="20"/>
        </w:rPr>
      </w:pPr>
      <w:r>
        <w:rPr>
          <w:sz w:val="20"/>
        </w:rPr>
        <w:t>“</w:t>
      </w:r>
      <w:r>
        <w:rPr>
          <w:sz w:val="20"/>
        </w:rPr>
        <w:t>The Rural Broadband Tax Credit” which will provide a tax credit for creating points of presence or access points along high-speed internet backbones in underserved communities.</w:t>
      </w:r>
    </w:p>
    <w:p>
      <w:pPr>
        <w:pStyle w:val="FootnoteText"/>
        <w:tabs>
          <w:tab w:val="clear" w:pos="720"/>
          <w:tab w:val="left" w:pos="90" w:leader="none"/>
          <w:tab w:val="right" w:pos="693" w:leader="none"/>
          <w:tab w:val="right" w:pos="1413" w:leader="none"/>
          <w:tab w:val="right" w:pos="2178" w:leader="none"/>
          <w:tab w:val="right" w:pos="2853" w:leader="none"/>
          <w:tab w:val="right" w:pos="3600" w:leader="none"/>
        </w:tabs>
        <w:jc w:val="start"/>
        <w:rPr>
          <w:sz w:val="20"/>
          <w:szCs w:val="24"/>
        </w:rPr>
      </w:pPr>
      <w:r>
        <w:rPr>
          <w:sz w:val="20"/>
          <w:szCs w:val="24"/>
        </w:rPr>
      </w:r>
    </w:p>
    <w:p>
      <w:pPr>
        <w:pStyle w:val="FootnoteText"/>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sz w:val="20"/>
          <w:u w:val="single"/>
        </w:rPr>
        <w:t>Broadband Build-out and Internet Access Trust Fund:</w:t>
      </w:r>
      <w:r>
        <w:rPr>
          <w:sz w:val="20"/>
        </w:rPr>
        <w:t xml:space="preserve">  The Act would include provisions to finance construction of local high-speed infrastructure through a fund to be administered by the National Telecommunications and Information Administration (“NTIA”).  For companies engaged in building last mile infrastructure, the Fund will provide direct grants, revolving loans, matching loans, loan guarantees, loan insurance and other services.  The Fund will be financed through various mechanisms, which may include the following:</w:t>
      </w:r>
    </w:p>
    <w:p>
      <w:pPr>
        <w:pStyle w:val="FootnoteText"/>
        <w:numPr>
          <w:ilvl w:val="0"/>
          <w:numId w:val="2"/>
        </w:numPr>
        <w:tabs>
          <w:tab w:val="clear" w:pos="720"/>
          <w:tab w:val="left" w:pos="90" w:leader="none"/>
          <w:tab w:val="right" w:pos="693" w:leader="none"/>
          <w:tab w:val="right" w:pos="1413" w:leader="none"/>
          <w:tab w:val="right" w:pos="2178" w:leader="none"/>
          <w:tab w:val="right" w:pos="2853" w:leader="none"/>
          <w:tab w:val="right" w:pos="3600" w:leader="none"/>
        </w:tabs>
        <w:jc w:val="start"/>
        <w:rPr>
          <w:sz w:val="20"/>
        </w:rPr>
      </w:pPr>
      <w:r>
        <w:rPr>
          <w:sz w:val="20"/>
        </w:rPr>
        <w:t xml:space="preserve">Proceeds from the auction of spectrum, including broadcasters’ spectrum, to be reclaimed by the FCC in 2006 at the earliest. </w:t>
      </w:r>
    </w:p>
    <w:p>
      <w:pPr>
        <w:pStyle w:val="FootnoteText"/>
        <w:numPr>
          <w:ilvl w:val="0"/>
          <w:numId w:val="2"/>
        </w:numPr>
        <w:tabs>
          <w:tab w:val="clear" w:pos="720"/>
          <w:tab w:val="left" w:pos="90" w:leader="none"/>
          <w:tab w:val="right" w:pos="693" w:leader="none"/>
          <w:tab w:val="right" w:pos="1413" w:leader="none"/>
          <w:tab w:val="right" w:pos="2178" w:leader="none"/>
          <w:tab w:val="right" w:pos="2853" w:leader="none"/>
          <w:tab w:val="right" w:pos="3600" w:leader="none"/>
        </w:tabs>
        <w:jc w:val="start"/>
        <w:rPr>
          <w:sz w:val="20"/>
        </w:rPr>
      </w:pPr>
      <w:r>
        <w:rPr>
          <w:sz w:val="20"/>
        </w:rPr>
        <w:t>Continuation of the 3% federal telephone excise tax</w:t>
      </w:r>
    </w:p>
    <w:p>
      <w:pPr>
        <w:pStyle w:val="FootnoteText"/>
        <w:numPr>
          <w:ilvl w:val="0"/>
          <w:numId w:val="2"/>
        </w:numPr>
        <w:tabs>
          <w:tab w:val="clear" w:pos="720"/>
          <w:tab w:val="left" w:pos="90" w:leader="none"/>
          <w:tab w:val="right" w:pos="693" w:leader="none"/>
          <w:tab w:val="right" w:pos="1413" w:leader="none"/>
          <w:tab w:val="right" w:pos="2178" w:leader="none"/>
          <w:tab w:val="right" w:pos="2853" w:leader="none"/>
          <w:tab w:val="right" w:pos="3600" w:leader="none"/>
        </w:tabs>
        <w:jc w:val="start"/>
        <w:rPr>
          <w:sz w:val="20"/>
        </w:rPr>
      </w:pPr>
      <w:r>
        <w:rPr>
          <w:sz w:val="20"/>
        </w:rPr>
        <w:t>Specific appropriations by Congress to the Fund.</w:t>
      </w:r>
    </w:p>
    <w:p>
      <w:pPr>
        <w:pStyle w:val="FootnoteText"/>
        <w:tabs>
          <w:tab w:val="clear" w:pos="720"/>
          <w:tab w:val="left" w:pos="90" w:leader="none"/>
          <w:tab w:val="right" w:pos="693" w:leader="none"/>
          <w:tab w:val="right" w:pos="1413" w:leader="none"/>
          <w:tab w:val="right" w:pos="2178" w:leader="none"/>
          <w:tab w:val="right" w:pos="2853" w:leader="none"/>
          <w:tab w:val="right" w:pos="3600" w:leader="none"/>
        </w:tabs>
        <w:jc w:val="start"/>
        <w:rPr>
          <w:sz w:val="20"/>
        </w:rPr>
      </w:pPr>
      <w:r>
        <w:rPr>
          <w:sz w:val="20"/>
        </w:rPr>
      </w:r>
    </w:p>
    <w:p>
      <w:pPr>
        <w:pStyle w:val="FootnoteText"/>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sz w:val="20"/>
          <w:u w:val="single"/>
        </w:rPr>
        <w:t>Agency Consolidation</w:t>
      </w:r>
      <w:r>
        <w:rPr>
          <w:sz w:val="20"/>
        </w:rPr>
        <w:t>:  The Act would consolidate telecommunications funding programs into the NTIA.  This increases federal funding for existing telecommunications infrastructure programs through administrative savings and an expanded commitment by Congress to these programs.  The Act would also designate the Director of the NTIA, as “national technology czar,” to develop a national broadband infrastructure program.</w:t>
      </w:r>
    </w:p>
    <w:p>
      <w:pPr>
        <w:pStyle w:val="FootnoteText"/>
        <w:tabs>
          <w:tab w:val="clear" w:pos="720"/>
          <w:tab w:val="left" w:pos="90" w:leader="none"/>
          <w:tab w:val="right" w:pos="693" w:leader="none"/>
          <w:tab w:val="right" w:pos="1413" w:leader="none"/>
          <w:tab w:val="right" w:pos="2178" w:leader="none"/>
          <w:tab w:val="right" w:pos="2853" w:leader="none"/>
          <w:tab w:val="right" w:pos="3600" w:leader="none"/>
        </w:tabs>
        <w:jc w:val="start"/>
        <w:rPr>
          <w:sz w:val="20"/>
        </w:rPr>
      </w:pPr>
      <w:r>
        <w:rPr>
          <w:sz w:val="20"/>
        </w:rPr>
      </w:r>
    </w:p>
    <w:p>
      <w:pPr>
        <w:pStyle w:val="FootnoteText"/>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b/>
          <w:bCs/>
          <w:sz w:val="20"/>
          <w:u w:val="single"/>
        </w:rPr>
        <w:t>Political Outlook and Policy Realities:</w:t>
      </w:r>
      <w:r>
        <w:rPr>
          <w:sz w:val="20"/>
        </w:rPr>
        <w:t xml:space="preserve"> For the most part, tax credits (other than perhaps investment tax credits for equipment manufacturers) tend to be federally mandated solutions.  However, a Bush Administration is likely to be more deferential to “states’ rights” and local initiatives than to larger federal fixes.  This view may be bipartisan: at least one influential Democratic Congressman, Rick Boucher of the House Commerce Committee’s Telecom Subcomittee, has indicated he would rather see state and local initiatives than federal funding for infrastructure build-outs.  Therefore, the Act should be viewed more as a demonstration of models of public sector support and tax relief to local, state and regional telecommunications agencies than as a substantial federal underwriting of a nationwide build-out.  Nevertheless, the elements contained in the Act have never been brought together under a unifying rubric, and for that reason, will provide important momentum and an essential guide.</w:t>
      </w:r>
      <w:r>
        <w:rPr>
          <w:sz w:val="20"/>
          <w:u w:val="single"/>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810"/>
        </w:tabs>
        <w:ind w:start="81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sz w:val="20"/>
      <w:u w:val="single"/>
    </w:rPr>
  </w:style>
  <w:style w:type="paragraph" w:styleId="Heading3">
    <w:name w:val="heading 3"/>
    <w:basedOn w:val="Normal"/>
    <w:next w:val="Normal"/>
    <w:qFormat/>
    <w:pPr>
      <w:keepNext w:val="true"/>
      <w:numPr>
        <w:ilvl w:val="2"/>
        <w:numId w:val="1"/>
      </w:numPr>
      <w:jc w:val="center"/>
      <w:outlineLvl w:val="2"/>
    </w:pPr>
    <w:rPr>
      <w:szCs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2">
    <w:name w:val="WW8Num2z2"/>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jc w:val="both"/>
    </w:pPr>
    <w:rPr>
      <w:szCs w:val="20"/>
    </w:rPr>
  </w:style>
  <w:style w:type="paragraph" w:styleId="BodyTextIndent2">
    <w:name w:val="Body Text Indent 2"/>
    <w:basedOn w:val="Normal"/>
    <w:qFormat/>
    <w:pPr>
      <w:tabs>
        <w:tab w:val="left" w:pos="90" w:leader="none"/>
        <w:tab w:val="left" w:pos="720" w:leader="none"/>
      </w:tabs>
      <w:ind w:hanging="0" w:start="720" w:end="0"/>
      <w:jc w:val="both"/>
    </w:pPr>
    <w:rPr>
      <w:szCs w:val="20"/>
    </w:rPr>
  </w:style>
  <w:style w:type="paragraph" w:styleId="BodyTextIndent3">
    <w:name w:val="Body Text Indent 3"/>
    <w:basedOn w:val="Normal"/>
    <w:qFormat/>
    <w:pPr>
      <w:tabs>
        <w:tab w:val="clear" w:pos="720"/>
        <w:tab w:val="left" w:pos="1440" w:leader="none"/>
      </w:tabs>
      <w:ind w:hanging="720" w:start="1440" w:end="0"/>
      <w:jc w:val="both"/>
    </w:pPr>
    <w:rPr>
      <w:szCs w:val="20"/>
    </w:rPr>
  </w:style>
  <w:style w:type="paragraph" w:styleId="BodyText2">
    <w:name w:val="Body Text 2"/>
    <w:basedOn w:val="Normal"/>
    <w:qFormat/>
    <w:pPr>
      <w:tabs>
        <w:tab w:val="clear" w:pos="720"/>
        <w:tab w:val="left" w:pos="90" w:leader="none"/>
        <w:tab w:val="right" w:pos="693" w:leader="none"/>
        <w:tab w:val="right" w:pos="1413" w:leader="none"/>
        <w:tab w:val="right" w:pos="2853" w:leader="none"/>
        <w:tab w:val="right" w:pos="3600" w:leader="none"/>
      </w:tabs>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2001-01-16T22:04:00Z</dcterms:created>
  <dc:creator>Sue Nord</dc:creator>
  <dc:description/>
  <dc:language>en-CA</dc:language>
  <cp:lastModifiedBy>sburns</cp:lastModifiedBy>
  <cp:lastPrinted>2001-01-15T13:17:00Z</cp:lastPrinted>
  <dcterms:modified xsi:type="dcterms:W3CDTF">2001-01-16T22:07:00Z</dcterms:modified>
  <cp:revision>3</cp:revision>
  <dc:subject/>
  <dc:title>Legislative Term Sheet</dc:title>
</cp:coreProperties>
</file>