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r>
        <w:rPr>
          <w:rFonts w:cs="Times" w:ascii="Times" w:hAnsi="Times"/>
          <w:sz w:val="23"/>
        </w:rPr>
        <w:t>April 24,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 xml:space="preserve">DISCUSSION ITEMS FOR NATURAL GAS TRANSACTION </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 xml:space="preserve">BETWEEN ENRON NORTH AMERICA </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AND</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EUGENE WATER AND ELECTRIC BOARD</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FOR</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EWEB STEAM UTILITY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BUYER:</w:t>
        <w:tab/>
        <w:t>Eugene Water and Electric Board (EWEB)</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SELLER:</w:t>
        <w:tab/>
        <w:t>Enron North America (ENA)</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June 1, 2001</w:t>
      </w:r>
      <w:r>
        <w:rPr>
          <w:rFonts w:cs="Times" w:ascii="Times" w:hAnsi="Times"/>
          <w:color w:val="000080"/>
          <w:sz w:val="23"/>
        </w:rPr>
        <w:t xml:space="preserve"> through May 31, 2002</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w:t>
        <w:tab/>
        <w:t>Northwest Natural Gas City Gate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ab/>
      </w:r>
    </w:p>
    <w:p>
      <w:pPr>
        <w:pStyle w:val="Normal"/>
        <w:tabs>
          <w:tab w:val="clear" w:pos="720"/>
          <w:tab w:val="left" w:pos="2160" w:leader="none"/>
          <w:tab w:val="left" w:pos="5220" w:leader="none"/>
        </w:tabs>
        <w:spacing w:lineRule="atLeast" w:line="240"/>
        <w:ind w:hanging="3960" w:start="3960" w:end="360"/>
        <w:jc w:val="both"/>
        <w:rPr/>
      </w:pPr>
      <w:r>
        <w:rPr>
          <w:sz w:val="23"/>
        </w:rPr>
        <w:t>CONTRACT PRICE (per MMBtu):</w:t>
        <w:tab/>
        <w:t xml:space="preserve">The Contract Price per MMBtu for the DCQ shall be equal to </w:t>
      </w:r>
      <w:r>
        <w:rPr>
          <w:rFonts w:cs="Times" w:ascii="Times" w:hAnsi="Times"/>
          <w:sz w:val="23"/>
        </w:rPr>
        <w:t xml:space="preserve">the "Index Price" published in </w:t>
      </w:r>
      <w:r>
        <w:rPr>
          <w:rFonts w:cs="Times" w:ascii="Times" w:hAnsi="Times"/>
          <w:sz w:val="23"/>
          <w:u w:val="single"/>
        </w:rPr>
        <w:t>Inside F.E.R.C.'s Gas Market Report</w:t>
      </w:r>
      <w:r>
        <w:rPr>
          <w:rFonts w:cs="Times" w:ascii="Times" w:hAnsi="Times"/>
          <w:sz w:val="23"/>
        </w:rPr>
        <w:t xml:space="preserve"> for Northwest Pipeline Canadian Border (Sumas), as listed in the table entitled "Prices of Spot Gas Delivered to Pipelines" in the first-of-the-month issue of such publication for each Month during the Period of Delivery plus $0.38 plus fuel, commodity charge, GRI and ACA as billed by Northwest Pipeline</w:t>
      </w:r>
    </w:p>
    <w:p>
      <w:pPr>
        <w:pStyle w:val="Normal"/>
        <w:tabs>
          <w:tab w:val="clear" w:pos="720"/>
          <w:tab w:val="left" w:pos="2160" w:leader="none"/>
          <w:tab w:val="left" w:pos="5220" w:leader="none"/>
        </w:tabs>
        <w:spacing w:lineRule="atLeast" w:line="240"/>
        <w:ind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TRANSPORTATION:</w:t>
        <w:tab/>
        <w:t>Interruptible Transport (IT) on Northwest Pipeline (Gas will be supplies on Secondary firm basis, ENA has the right to curtail service in the event of a transportaion curtailment occurs on this flow path on Northwest Pipeline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 xml:space="preserve">CONTRACT QUANTITY (DCQ): </w:t>
        <w:tab/>
        <w:t>Buyer’s DCQ is shown in the table below</w:t>
      </w:r>
    </w:p>
    <w:p>
      <w:pPr>
        <w:pStyle w:val="BlockText"/>
        <w:rPr/>
      </w:pPr>
      <w:r>
        <w:rPr/>
      </w:r>
    </w:p>
    <w:p>
      <w:pPr>
        <w:pStyle w:val="BlockText"/>
        <w:rPr/>
      </w:pPr>
      <w:r>
        <w:rPr/>
      </w:r>
    </w:p>
    <w:tbl>
      <w:tblPr>
        <w:tblW w:w="8478" w:type="dxa"/>
        <w:jc w:val="start"/>
        <w:tblInd w:w="0" w:type="dxa"/>
        <w:tblLayout w:type="fixed"/>
        <w:tblCellMar>
          <w:top w:w="0" w:type="dxa"/>
          <w:start w:w="108" w:type="dxa"/>
          <w:bottom w:w="0" w:type="dxa"/>
          <w:end w:w="108" w:type="dxa"/>
        </w:tblCellMar>
      </w:tblPr>
      <w:tblGrid>
        <w:gridCol w:w="3978"/>
        <w:gridCol w:w="1890"/>
        <w:gridCol w:w="1440"/>
        <w:gridCol w:w="1170"/>
      </w:tblGrid>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u w:val="single"/>
              </w:rPr>
              <w:t>Month</w:t>
            </w:r>
          </w:p>
        </w:tc>
        <w:tc>
          <w:tcPr>
            <w:tcW w:w="1440" w:type="dxa"/>
            <w:tcBorders/>
          </w:tcPr>
          <w:p>
            <w:pPr>
              <w:pStyle w:val="Heading5"/>
              <w:ind w:hanging="0" w:start="0"/>
              <w:rPr/>
            </w:pPr>
            <w:r>
              <w:rPr/>
              <w:t>Year</w:t>
            </w:r>
          </w:p>
          <w:p>
            <w:pPr>
              <w:pStyle w:val="Normal"/>
              <w:tabs>
                <w:tab w:val="clear" w:pos="720"/>
                <w:tab w:val="left" w:pos="690" w:leader="none"/>
                <w:tab w:val="left" w:pos="1440" w:leader="none"/>
                <w:tab w:val="left" w:pos="2160" w:leader="none"/>
              </w:tabs>
              <w:spacing w:lineRule="atLeast" w:line="240"/>
              <w:rPr>
                <w:rFonts w:ascii="Times" w:hAnsi="Times" w:cs="Times"/>
                <w:sz w:val="23"/>
              </w:rPr>
            </w:pPr>
            <w:r>
              <w:rPr>
                <w:rFonts w:cs="Times" w:ascii="Times" w:hAnsi="Times"/>
                <w:sz w:val="23"/>
              </w:rPr>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u w:val="single"/>
              </w:rPr>
              <w:t>MMBtu/d</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 xml:space="preserve">June </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July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August</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September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October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November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December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January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February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March</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April</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rHeight w:val="308" w:hRule="atLeast"/>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May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bl>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BodyTextIndent"/>
        <w:ind w:start="0" w:end="0"/>
        <w:rPr/>
      </w:pPr>
      <w:r>
        <w:rPr/>
        <w:t>OTHER:</w:t>
        <w:tab/>
        <w:t xml:space="preserve"> </w:t>
      </w:r>
      <w:r>
        <w:rPr>
          <w:b/>
        </w:rPr>
        <w:t xml:space="preserve">Nominations:  </w:t>
      </w:r>
    </w:p>
    <w:p>
      <w:pPr>
        <w:pStyle w:val="BodyTextIndent"/>
        <w:ind w:start="0" w:end="0"/>
        <w:rPr>
          <w:b/>
          <w:sz w:val="22"/>
        </w:rPr>
      </w:pPr>
      <w:r>
        <w:rPr>
          <w:b/>
          <w:sz w:val="22"/>
        </w:rPr>
      </w:r>
    </w:p>
    <w:p>
      <w:pPr>
        <w:pStyle w:val="BodyTextIndent"/>
        <w:numPr>
          <w:ilvl w:val="0"/>
          <w:numId w:val="2"/>
        </w:numPr>
        <w:tabs>
          <w:tab w:val="clear" w:pos="720"/>
          <w:tab w:val="left" w:pos="2520" w:leader="none"/>
        </w:tabs>
        <w:ind w:hanging="360" w:start="2520" w:end="0"/>
        <w:rPr>
          <w:sz w:val="22"/>
        </w:rPr>
      </w:pPr>
      <w:r>
        <w:rPr>
          <w:sz w:val="22"/>
        </w:rPr>
        <w:t>Daily Purchase Notifications for Tuesday–Friday for weeks without a holiday must be made by 8:00 am Central Time the day prior to the delivery day.</w:t>
      </w:r>
    </w:p>
    <w:p>
      <w:pPr>
        <w:pStyle w:val="Normal"/>
        <w:numPr>
          <w:ilvl w:val="0"/>
          <w:numId w:val="2"/>
        </w:numPr>
        <w:tabs>
          <w:tab w:val="clear" w:pos="720"/>
          <w:tab w:val="left" w:pos="2520" w:leader="none"/>
        </w:tabs>
        <w:ind w:hanging="360" w:start="2520" w:end="0"/>
        <w:rPr>
          <w:sz w:val="22"/>
        </w:rPr>
      </w:pPr>
      <w:r>
        <w:rPr>
          <w:sz w:val="22"/>
        </w:rPr>
        <w:t>Purchase Notifications for Saturday–Monday for non holiday weekends must be received by 8:00 am Central Time Friday morning and quantity must be the same for all three days.</w:t>
      </w:r>
    </w:p>
    <w:p>
      <w:pPr>
        <w:pStyle w:val="Normal"/>
        <w:numPr>
          <w:ilvl w:val="0"/>
          <w:numId w:val="2"/>
        </w:numPr>
        <w:tabs>
          <w:tab w:val="clear" w:pos="720"/>
          <w:tab w:val="left" w:pos="2520" w:leader="none"/>
        </w:tabs>
        <w:ind w:hanging="360" w:start="2520" w:end="0"/>
        <w:rPr>
          <w:sz w:val="22"/>
        </w:rPr>
      </w:pPr>
      <w:r>
        <w:rPr>
          <w:sz w:val="22"/>
        </w:rPr>
        <w:t>Purchase Notifications for Saturday–Tuesday for holiday weekends where the holiday falls on a Monday must be received by 8:00 am Central Time Friday and quantity must be the same for all four days.</w:t>
      </w:r>
    </w:p>
    <w:p>
      <w:pPr>
        <w:pStyle w:val="Normal"/>
        <w:numPr>
          <w:ilvl w:val="0"/>
          <w:numId w:val="2"/>
        </w:numPr>
        <w:tabs>
          <w:tab w:val="clear" w:pos="720"/>
          <w:tab w:val="left" w:pos="2520" w:leader="none"/>
        </w:tabs>
        <w:ind w:hanging="360" w:start="2520" w:end="0"/>
        <w:rPr>
          <w:rFonts w:ascii="Times" w:hAnsi="Times" w:cs="Times"/>
          <w:sz w:val="23"/>
        </w:rPr>
      </w:pPr>
      <w:r>
        <w:rPr>
          <w:sz w:val="22"/>
        </w:rPr>
        <w:t>Purchase Notifications for the two days during the week when a business day is followed by a holiday must be received by 8:00 am Central Time on the business day prior to the holiday and quantity must be the same for both days.</w:t>
      </w:r>
    </w:p>
    <w:p>
      <w:pPr>
        <w:pStyle w:val="Normal"/>
        <w:ind w:end="436"/>
        <w:jc w:val="both"/>
        <w:rPr>
          <w:rFonts w:ascii="Times" w:hAnsi="Times" w:cs="Times"/>
          <w:sz w:val="23"/>
        </w:rPr>
      </w:pPr>
      <w:r>
        <w:rPr>
          <w:rFonts w:cs="Times" w:ascii="Times" w:hAnsi="Times"/>
          <w:sz w:val="23"/>
        </w:rPr>
      </w:r>
    </w:p>
    <w:p>
      <w:pPr>
        <w:pStyle w:val="Normal"/>
        <w:ind w:start="1440" w:end="436"/>
        <w:jc w:val="both"/>
        <w:rPr>
          <w:sz w:val="23"/>
        </w:rPr>
      </w:pPr>
      <w:r>
        <w:rPr>
          <w:sz w:val="23"/>
        </w:rPr>
      </w:r>
    </w:p>
    <w:p>
      <w:pPr>
        <w:pStyle w:val="BodyText"/>
        <w:rPr>
          <w:b/>
          <w:i/>
          <w:i/>
        </w:rPr>
      </w:pPr>
      <w:r>
        <w:rPr>
          <w:b/>
          <w:i/>
        </w:rPr>
        <w:t>These Discussion Items are intended to facilitate the negotiation, preparation, and execution of definitive agreements. The prices set forth herein are subject to change until, if ever, definitive agreement(s) relating to the prospective transaction addressed herein are executed. It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p>
      <w:pPr>
        <w:pStyle w:val="Normal"/>
        <w:ind w:start="1440" w:end="436"/>
        <w:jc w:val="both"/>
        <w:rPr>
          <w:sz w:val="23"/>
        </w:rPr>
      </w:pPr>
      <w:r>
        <w:rPr>
          <w:sz w:val="23"/>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/mnt/main-storage/datasets/enron-docs/doc/Term_Sheet-a7e25bd763242742e11c7a596e1cf23812b5542776eb5d1c7cb83bc2d0e73afe.doc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/mnt/main-storage/datasets/enron-docs/doc/Term_Sheet-a7e25bd763242742e11c7a596e1cf23812b5542776eb5d1c7cb83bc2d0e73afe.doc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jc w:val="cen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January 4, 2000</w:t>
    </w:r>
  </w:p>
  <w:p>
    <w:pPr>
      <w:pStyle w:val="Header"/>
      <w:tabs>
        <w:tab w:val="clear" w:pos="4320"/>
        <w:tab w:val="center" w:pos="3330" w:leader="none"/>
        <w:tab w:val="right" w:pos="8640" w:leader="none"/>
      </w:tabs>
      <w:rPr>
        <w:sz w:val="23"/>
      </w:rPr>
    </w:pPr>
    <w:r>
      <w:rPr>
        <w:sz w:val="23"/>
        <w:u w:val="single"/>
      </w:rPr>
      <w:t xml:space="preserve">Page </w:t>
    </w:r>
    <w:r>
      <w:rPr>
        <w:sz w:val="23"/>
        <w:u w:val="single"/>
      </w:rPr>
      <w:fldChar w:fldCharType="begin"/>
    </w:r>
    <w:r>
      <w:rPr>
        <w:sz w:val="23"/>
        <w:u w:val="single"/>
      </w:rPr>
      <w:instrText xml:space="preserve"> PAGE </w:instrText>
    </w:r>
    <w:r>
      <w:rPr>
        <w:sz w:val="23"/>
        <w:u w:val="single"/>
      </w:rPr>
      <w:fldChar w:fldCharType="separate"/>
    </w:r>
    <w:r>
      <w:rPr>
        <w:sz w:val="23"/>
        <w:u w:val="single"/>
      </w:rPr>
      <w:t>2</w:t>
    </w:r>
    <w:r>
      <w:rPr>
        <w:sz w:val="23"/>
        <w:u w:val="single"/>
      </w:rPr>
      <w:fldChar w:fldCharType="end"/>
    </w:r>
    <w:r>
      <w:rPr>
        <w:sz w:val="23"/>
        <w:u w:val="single"/>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2" w:name="_1003232679"/>
          <w:bookmarkEnd w:id="2"/>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92776059" r:id="rId1"/>
            </w:object>
          </w:r>
        </w:p>
      </w:tc>
      <w:tc>
        <w:tcPr>
          <w:tcW w:w="4601" w:type="dxa"/>
          <w:tcBorders/>
        </w:tcPr>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690" w:leader="none"/>
        <w:tab w:val="left" w:pos="1440" w:leader="none"/>
        <w:tab w:val="left" w:pos="2160" w:leader="none"/>
      </w:tabs>
      <w:spacing w:lineRule="atLeast" w:line="240"/>
      <w:outlineLvl w:val="4"/>
    </w:pPr>
    <w:rPr>
      <w:rFonts w:ascii="Times" w:hAnsi="Times" w:cs="Times"/>
      <w:sz w:val="23"/>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rFonts w:ascii="Times" w:hAnsi="Times" w:cs="Times"/>
      <w:b w:val="false"/>
    </w:rPr>
  </w:style>
  <w:style w:type="character" w:styleId="WW8Num4z0">
    <w:name w:val="WW8Num4z0"/>
    <w:qFormat/>
    <w:rPr>
      <w:i w:val="false"/>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0" w:start="3960" w:end="0"/>
    </w:pPr>
    <w:rPr>
      <w:rFonts w:ascii="Times" w:hAnsi="Times" w:cs="Times"/>
      <w:sz w:val="23"/>
    </w:rPr>
  </w:style>
  <w:style w:type="paragraph" w:styleId="BodyTextIndent2">
    <w:name w:val="Body Text Indent 2"/>
    <w:basedOn w:val="Normal"/>
    <w:qFormat/>
    <w:pPr>
      <w:ind w:hanging="0" w:start="1440" w:end="0"/>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2001-04-25T18:39:00Z</dcterms:created>
  <dc:creator>EW/LN/CB</dc:creator>
  <dc:description/>
  <cp:keywords>Ethan</cp:keywords>
  <dc:language>en-CA</dc:language>
  <cp:lastModifiedBy>dfuller</cp:lastModifiedBy>
  <cp:lastPrinted>2000-10-18T10:08:00Z</cp:lastPrinted>
  <dcterms:modified xsi:type="dcterms:W3CDTF">2001-04-25T18:51:00Z</dcterms:modified>
  <cp:revision>4</cp:revision>
  <dc:subject/>
  <dc:title>Ethan Frome</dc:title>
</cp:coreProperties>
</file>