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ATTACHMENT “A”</w:t>
      </w:r>
    </w:p>
    <w:p>
      <w:pPr>
        <w:pStyle w:val="Normal"/>
        <w:widowControl/>
        <w:rPr>
          <w:b/>
        </w:rPr>
      </w:pPr>
      <w:r>
        <w:rPr>
          <w:b/>
        </w:rPr>
      </w:r>
    </w:p>
    <w:p>
      <w:pPr>
        <w:pStyle w:val="Normal"/>
        <w:widowControl/>
        <w:jc w:val="center"/>
        <w:rPr>
          <w:b/>
        </w:rPr>
      </w:pPr>
      <w:r>
        <w:rPr>
          <w:b/>
        </w:rPr>
        <w:t>Term Sheet</w:t>
      </w:r>
    </w:p>
    <w:p>
      <w:pPr>
        <w:pStyle w:val="Normal"/>
        <w:widowControl/>
        <w:jc w:val="center"/>
        <w:rPr/>
      </w:pPr>
      <w:r>
        <w:rPr/>
      </w:r>
    </w:p>
    <w:p>
      <w:pPr>
        <w:pStyle w:val="Normal"/>
        <w:widowControl/>
        <w:jc w:val="center"/>
        <w:rPr/>
      </w:pPr>
      <w:r>
        <w:rPr/>
      </w:r>
    </w:p>
    <w:tbl>
      <w:tblPr>
        <w:tblW w:w="9576" w:type="dxa"/>
        <w:jc w:val="start"/>
        <w:tblInd w:w="0" w:type="dxa"/>
        <w:tblLayout w:type="fixed"/>
        <w:tblCellMar>
          <w:top w:w="0" w:type="dxa"/>
          <w:start w:w="108" w:type="dxa"/>
          <w:bottom w:w="0" w:type="dxa"/>
          <w:end w:w="108" w:type="dxa"/>
        </w:tblCellMar>
      </w:tblPr>
      <w:tblGrid>
        <w:gridCol w:w="1998"/>
        <w:gridCol w:w="7578"/>
      </w:tblGrid>
      <w:tr>
        <w:trPr/>
        <w:tc>
          <w:tcPr>
            <w:tcW w:w="1998" w:type="dxa"/>
            <w:tcBorders/>
          </w:tcPr>
          <w:p>
            <w:pPr>
              <w:pStyle w:val="Term"/>
              <w:widowControl/>
              <w:tabs>
                <w:tab w:val="clear" w:pos="720"/>
                <w:tab w:val="left" w:pos="432" w:leader="none"/>
              </w:tabs>
              <w:spacing w:before="0" w:after="240"/>
              <w:ind w:hanging="432" w:start="432" w:end="0"/>
              <w:jc w:val="start"/>
              <w:rPr/>
            </w:pPr>
            <w:r>
              <w:rPr/>
              <w:t>1.</w:t>
              <w:tab/>
            </w:r>
            <w:r>
              <w:rPr>
                <w:u w:val="single"/>
              </w:rPr>
              <w:t>Parties</w:t>
            </w:r>
            <w:r>
              <w:rPr/>
              <w:t>:</w:t>
            </w:r>
          </w:p>
        </w:tc>
        <w:tc>
          <w:tcPr>
            <w:tcW w:w="7578" w:type="dxa"/>
            <w:tcBorders/>
          </w:tcPr>
          <w:p>
            <w:pPr>
              <w:pStyle w:val="Term"/>
              <w:widowControl/>
              <w:spacing w:before="0" w:after="240"/>
              <w:ind w:hanging="0" w:start="0" w:end="0"/>
              <w:rPr>
                <w:u w:val="single"/>
              </w:rPr>
            </w:pPr>
            <w:r>
              <w:rPr/>
              <w:t>Enron North America Corp. or its authorized affiliates (collectively, “ENA”), and AIG Highstar Capital, L.P., a Delaware limited partnership or its subsidiaries (collectively, “Highstar”).  Any entity constituting ENA for purposes of the Transactions or the other matters contemplated hereby must be reasonably acceptable to Highstar including (without limitation) from a credit perspective.</w:t>
            </w:r>
          </w:p>
        </w:tc>
      </w:tr>
      <w:tr>
        <w:trPr/>
        <w:tc>
          <w:tcPr>
            <w:tcW w:w="1998" w:type="dxa"/>
            <w:tcBorders/>
          </w:tcPr>
          <w:p>
            <w:pPr>
              <w:pStyle w:val="Term"/>
              <w:widowControl/>
              <w:tabs>
                <w:tab w:val="clear" w:pos="720"/>
                <w:tab w:val="left" w:pos="432" w:leader="none"/>
              </w:tabs>
              <w:spacing w:before="0" w:after="240"/>
              <w:ind w:hanging="432" w:start="432" w:end="0"/>
              <w:jc w:val="start"/>
              <w:rPr/>
            </w:pPr>
            <w:r>
              <w:rPr/>
              <w:t>2.</w:t>
              <w:tab/>
            </w:r>
            <w:r>
              <w:rPr>
                <w:u w:val="single"/>
              </w:rPr>
              <w:t>Assets</w:t>
            </w:r>
            <w:r>
              <w:rPr/>
              <w:t>:</w:t>
            </w:r>
          </w:p>
        </w:tc>
        <w:tc>
          <w:tcPr>
            <w:tcW w:w="7578" w:type="dxa"/>
            <w:tcBorders/>
          </w:tcPr>
          <w:p>
            <w:pPr>
              <w:pStyle w:val="Term"/>
              <w:widowControl/>
              <w:spacing w:before="0" w:after="240"/>
              <w:ind w:hanging="0" w:start="0" w:end="0"/>
              <w:rPr/>
            </w:pPr>
            <w:r>
              <w:rPr/>
              <w:t xml:space="preserve">Two 35 MW coal fueled cogeneration plants owned by subsidiaries of North Carolina Power Holdings, LLC, a Delaware limited liability company (“NCPH”), located in Elizabethtown and Lumberton, North Carolina, together with related improvements and appurtenances, including operating permits, the CP&amp;L Agreement (defined below), together with the other contracts relating to NCPH and/or the aforesaid plants including, without limitation, those set forth on </w:t>
            </w:r>
            <w:r>
              <w:rPr>
                <w:u w:val="single"/>
              </w:rPr>
              <w:t>Exhibit A</w:t>
            </w:r>
            <w:r>
              <w:rPr/>
              <w:t xml:space="preserve"> attached hereto (the “Facility Contracts”).</w:t>
            </w:r>
          </w:p>
        </w:tc>
      </w:tr>
      <w:tr>
        <w:trPr/>
        <w:tc>
          <w:tcPr>
            <w:tcW w:w="1998" w:type="dxa"/>
            <w:tcBorders/>
          </w:tcPr>
          <w:p>
            <w:pPr>
              <w:pStyle w:val="Term"/>
              <w:widowControl/>
              <w:tabs>
                <w:tab w:val="clear" w:pos="720"/>
                <w:tab w:val="left" w:pos="432" w:leader="none"/>
              </w:tabs>
              <w:spacing w:before="0" w:after="240"/>
              <w:ind w:hanging="432" w:start="432" w:end="0"/>
              <w:jc w:val="start"/>
              <w:rPr/>
            </w:pPr>
            <w:r>
              <w:rPr/>
              <w:t>3.</w:t>
              <w:tab/>
              <w:t xml:space="preserve">Transaction </w:t>
            </w:r>
            <w:r>
              <w:rPr>
                <w:u w:val="single"/>
              </w:rPr>
              <w:t>Description</w:t>
            </w:r>
            <w:r>
              <w:rPr/>
              <w:t>:</w:t>
            </w:r>
          </w:p>
        </w:tc>
        <w:tc>
          <w:tcPr>
            <w:tcW w:w="7578" w:type="dxa"/>
            <w:tcBorders/>
          </w:tcPr>
          <w:p>
            <w:pPr>
              <w:pStyle w:val="Term"/>
              <w:widowControl/>
              <w:spacing w:before="0" w:after="240"/>
              <w:ind w:hanging="0" w:start="0" w:end="0"/>
              <w:rPr/>
            </w:pPr>
            <w:r>
              <w:rPr/>
              <w:t>On the Financial Closing Date (as defined below) (i) Highstar will acquire from ENA 100% of the ownership interests in NCPH (the “LLC Interests”) and (ii) the following agreements among ENA, Highstar and/or NCPH will also become effective (and notwithstanding anything herein to the contrary, such agreements shall be deemed to be economically effective from May 1, 2001): (A) certain financial hedges to reduce Highstar's exposure to external market fluctuations in connection with the ownership and operation of the Assets; (B) an asset management agreement, whereby ENA will manage the Assets and market all available power generated thereby into the wholesale market; and (C) a brokerage agreement, whereby ENA will act as sole agent in connection with the Sale (as defined below) (collectively, the “Transactions”).</w:t>
            </w:r>
          </w:p>
        </w:tc>
      </w:tr>
      <w:tr>
        <w:trPr/>
        <w:tc>
          <w:tcPr>
            <w:tcW w:w="1998" w:type="dxa"/>
            <w:tcBorders/>
          </w:tcPr>
          <w:p>
            <w:pPr>
              <w:pStyle w:val="Term"/>
              <w:widowControl/>
              <w:tabs>
                <w:tab w:val="clear" w:pos="720"/>
                <w:tab w:val="left" w:pos="432" w:leader="none"/>
              </w:tabs>
              <w:spacing w:before="0" w:after="240"/>
              <w:ind w:hanging="432" w:start="432" w:end="0"/>
              <w:jc w:val="start"/>
              <w:rPr/>
            </w:pPr>
            <w:r>
              <w:rPr/>
              <w:t>4.</w:t>
              <w:tab/>
              <w:t>Securities Purchase</w:t>
            </w:r>
            <w:r>
              <w:rPr>
                <w:u w:val="single"/>
              </w:rPr>
              <w:t xml:space="preserve"> Agreement</w:t>
            </w:r>
            <w:r>
              <w:rPr/>
              <w:t>:</w:t>
            </w:r>
          </w:p>
        </w:tc>
        <w:tc>
          <w:tcPr>
            <w:tcW w:w="7578" w:type="dxa"/>
            <w:tcBorders/>
          </w:tcPr>
          <w:p>
            <w:pPr>
              <w:pStyle w:val="Term"/>
              <w:widowControl/>
              <w:spacing w:before="0" w:after="240"/>
              <w:ind w:hanging="0" w:start="0" w:end="0"/>
              <w:rPr/>
            </w:pPr>
            <w:r>
              <w:rPr/>
              <w:t xml:space="preserve">Highstar and ENA will on or before the Closing Date (as defined in the letter to which this Term Sheet is attached) enter into a Securities Purchase Agreement (the “Securities Purchase Agreement”) incorporating, </w:t>
            </w:r>
            <w:r>
              <w:rPr>
                <w:i/>
              </w:rPr>
              <w:t>inter alia</w:t>
            </w:r>
            <w:r>
              <w:rPr/>
              <w:t>, the following terms and conditions:</w:t>
            </w:r>
          </w:p>
        </w:tc>
      </w:tr>
      <w:tr>
        <w:trPr/>
        <w:tc>
          <w:tcPr>
            <w:tcW w:w="1998" w:type="dxa"/>
            <w:tcBorders/>
          </w:tcPr>
          <w:p>
            <w:pPr>
              <w:pStyle w:val="ParaDot"/>
              <w:widowControl/>
              <w:snapToGrid w:val="false"/>
              <w:spacing w:before="0" w:after="240"/>
              <w:jc w:val="start"/>
              <w:rPr/>
            </w:pPr>
            <w:r>
              <w:rPr/>
            </w:r>
          </w:p>
        </w:tc>
        <w:tc>
          <w:tcPr>
            <w:tcW w:w="7578" w:type="dxa"/>
            <w:tcBorders/>
          </w:tcPr>
          <w:p>
            <w:pPr>
              <w:pStyle w:val="Term"/>
              <w:widowControl/>
              <w:tabs>
                <w:tab w:val="clear" w:pos="720"/>
                <w:tab w:val="left" w:pos="432" w:leader="none"/>
              </w:tabs>
              <w:spacing w:before="0" w:after="240"/>
              <w:ind w:hanging="432" w:start="432" w:end="0"/>
              <w:rPr/>
            </w:pPr>
            <w:r>
              <w:rPr/>
              <w:t>(a)</w:t>
              <w:tab/>
            </w:r>
            <w:r>
              <w:rPr>
                <w:u w:val="single"/>
              </w:rPr>
              <w:t>Sale of LLC Interests</w:t>
            </w:r>
            <w:r>
              <w:rPr/>
              <w:t>.  ENA will sell and Highstar will acquire the LLC Interests for $25,500,000 on the date all conditions precedent set out in the Securities Purchase Agreement have been met (the “Financial Closing Date”) which must occur, if at all, by June 15, 2001. As additional consideration, the Parties will enter into the 2001 Put Option, the Asset Management Agreement and the Brokerage Agreement described below.</w:t>
            </w:r>
          </w:p>
        </w:tc>
      </w:tr>
      <w:tr>
        <w:trPr/>
        <w:tc>
          <w:tcPr>
            <w:tcW w:w="1998" w:type="dxa"/>
            <w:tcBorders/>
          </w:tcPr>
          <w:p>
            <w:pPr>
              <w:pStyle w:val="ParaDot"/>
              <w:widowControl/>
              <w:snapToGrid w:val="false"/>
              <w:spacing w:before="0" w:after="240"/>
              <w:jc w:val="start"/>
              <w:rPr/>
            </w:pPr>
            <w:r>
              <w:rPr/>
            </w:r>
          </w:p>
        </w:tc>
        <w:tc>
          <w:tcPr>
            <w:tcW w:w="7578" w:type="dxa"/>
            <w:tcBorders/>
          </w:tcPr>
          <w:p>
            <w:pPr>
              <w:pStyle w:val="Term"/>
              <w:widowControl/>
              <w:tabs>
                <w:tab w:val="clear" w:pos="720"/>
                <w:tab w:val="left" w:pos="432" w:leader="none"/>
              </w:tabs>
              <w:ind w:hanging="432" w:start="432" w:end="0"/>
              <w:rPr>
                <w:b/>
                <w:u w:val="double"/>
              </w:rPr>
            </w:pPr>
            <w:r>
              <w:rPr/>
              <w:t>(b)</w:t>
              <w:tab/>
            </w:r>
            <w:r>
              <w:rPr>
                <w:u w:val="single"/>
              </w:rPr>
              <w:t>Conditions Precedent</w:t>
            </w:r>
            <w:r>
              <w:rPr/>
              <w:t>.  Conditions precedent to the occurrence of Highstar’s obligation to purchase and the occurrence of the Financial Closing Date shall be limited to:</w:t>
            </w:r>
          </w:p>
          <w:p>
            <w:pPr>
              <w:pStyle w:val="Term"/>
              <w:widowControl/>
              <w:tabs>
                <w:tab w:val="clear" w:pos="720"/>
                <w:tab w:val="left" w:pos="1602" w:leader="none"/>
              </w:tabs>
              <w:spacing w:before="0" w:after="120"/>
              <w:ind w:hanging="1080" w:start="1598" w:end="0"/>
              <w:rPr/>
            </w:pPr>
            <w:r>
              <w:rPr/>
              <w:t>(i)</w:t>
              <w:tab/>
              <w:t>execution of the Brokerage Agreement, the Asset Management Agreement and the 2001 Put Option (subject to no conditions as to their effectiveness other than the occurrence of the Financial Closing Date);</w:t>
            </w:r>
          </w:p>
          <w:p>
            <w:pPr>
              <w:pStyle w:val="Term"/>
              <w:widowControl/>
              <w:tabs>
                <w:tab w:val="clear" w:pos="720"/>
                <w:tab w:val="left" w:pos="1602" w:leader="none"/>
              </w:tabs>
              <w:spacing w:before="0" w:after="120"/>
              <w:ind w:hanging="1080" w:start="1598" w:end="0"/>
              <w:rPr/>
            </w:pPr>
            <w:r>
              <w:rPr/>
              <w:t>(ii)</w:t>
              <w:tab/>
              <w:t>execution of credit support/enhancement for applicable Facility Contracts and Transactions acceptable to Highstar and ENA;</w:t>
            </w:r>
          </w:p>
          <w:p>
            <w:pPr>
              <w:pStyle w:val="Term"/>
              <w:widowControl/>
              <w:tabs>
                <w:tab w:val="clear" w:pos="720"/>
                <w:tab w:val="left" w:pos="1602" w:leader="none"/>
              </w:tabs>
              <w:spacing w:before="0" w:after="120"/>
              <w:ind w:hanging="1080" w:start="1602" w:end="0"/>
              <w:rPr/>
            </w:pPr>
            <w:r>
              <w:rPr/>
              <w:t>(iii)</w:t>
              <w:tab/>
              <w:t>representations and warranties of ENA and Highstar being accurate as at the Financial Closing Date; and</w:t>
            </w:r>
          </w:p>
          <w:p>
            <w:pPr>
              <w:pStyle w:val="Term"/>
              <w:widowControl/>
              <w:tabs>
                <w:tab w:val="clear" w:pos="720"/>
                <w:tab w:val="left" w:pos="1602" w:leader="none"/>
              </w:tabs>
              <w:spacing w:before="0" w:after="120"/>
              <w:ind w:hanging="0" w:start="518" w:end="0"/>
              <w:rPr/>
            </w:pPr>
            <w:r>
              <w:rPr/>
              <w:t>(iv)</w:t>
              <w:tab/>
              <w:t>receipt of necessary federal and state approvals.</w:t>
            </w:r>
          </w:p>
          <w:p>
            <w:pPr>
              <w:pStyle w:val="Term"/>
              <w:widowControl/>
              <w:tabs>
                <w:tab w:val="clear" w:pos="720"/>
                <w:tab w:val="left" w:pos="1602" w:leader="none"/>
              </w:tabs>
              <w:spacing w:before="0" w:after="120"/>
              <w:ind w:hanging="1080" w:start="1598" w:end="0"/>
              <w:rPr>
                <w:b/>
                <w:u w:val="double"/>
              </w:rPr>
            </w:pPr>
            <w:r>
              <w:rPr>
                <w:b/>
                <w:u w:val="double"/>
              </w:rPr>
            </w:r>
          </w:p>
        </w:tc>
      </w:tr>
      <w:tr>
        <w:trPr/>
        <w:tc>
          <w:tcPr>
            <w:tcW w:w="1998" w:type="dxa"/>
            <w:tcBorders/>
          </w:tcPr>
          <w:p>
            <w:pPr>
              <w:pStyle w:val="ParaDot"/>
              <w:widowControl/>
              <w:snapToGrid w:val="false"/>
              <w:spacing w:before="0" w:after="240"/>
              <w:jc w:val="start"/>
              <w:rPr>
                <w:b/>
                <w:u w:val="double"/>
              </w:rPr>
            </w:pPr>
            <w:r>
              <w:rPr>
                <w:b/>
                <w:u w:val="double"/>
              </w:rPr>
            </w:r>
          </w:p>
        </w:tc>
        <w:tc>
          <w:tcPr>
            <w:tcW w:w="7578" w:type="dxa"/>
            <w:tcBorders/>
          </w:tcPr>
          <w:p>
            <w:pPr>
              <w:pStyle w:val="Term"/>
              <w:widowControl/>
              <w:tabs>
                <w:tab w:val="clear" w:pos="720"/>
                <w:tab w:val="left" w:pos="432" w:leader="none"/>
              </w:tabs>
              <w:spacing w:before="0" w:after="120"/>
              <w:ind w:hanging="432" w:start="432" w:end="0"/>
              <w:rPr/>
            </w:pPr>
            <w:r>
              <w:rPr/>
              <w:t>(c)</w:t>
              <w:tab/>
            </w:r>
            <w:r>
              <w:rPr>
                <w:u w:val="single"/>
              </w:rPr>
              <w:t>ENA Representations and Warranties</w:t>
            </w:r>
            <w:r>
              <w:rPr/>
              <w:t>.  Representations and warranties of ENA (some of which may be limited by knowledge qualifiers) shall include, but shall not be limited to:</w:t>
            </w:r>
          </w:p>
          <w:p>
            <w:pPr>
              <w:pStyle w:val="Term"/>
              <w:widowControl/>
              <w:tabs>
                <w:tab w:val="clear" w:pos="720"/>
                <w:tab w:val="left" w:pos="1602" w:leader="none"/>
              </w:tabs>
              <w:spacing w:before="0" w:after="120"/>
              <w:ind w:hanging="1080" w:start="1602" w:end="0"/>
              <w:rPr/>
            </w:pPr>
            <w:r>
              <w:rPr/>
              <w:t>(i)</w:t>
              <w:tab/>
              <w:t>corporate housekeeping matters;</w:t>
            </w:r>
          </w:p>
          <w:p>
            <w:pPr>
              <w:pStyle w:val="Term"/>
              <w:widowControl/>
              <w:numPr>
                <w:ilvl w:val="0"/>
                <w:numId w:val="5"/>
              </w:numPr>
              <w:spacing w:before="0" w:after="120"/>
              <w:rPr/>
            </w:pPr>
            <w:r>
              <w:rPr/>
              <w:t>ownership of LLC Interests and Assets;</w:t>
            </w:r>
          </w:p>
          <w:p>
            <w:pPr>
              <w:pStyle w:val="Term"/>
              <w:widowControl/>
              <w:numPr>
                <w:ilvl w:val="0"/>
                <w:numId w:val="5"/>
              </w:numPr>
              <w:spacing w:before="0" w:after="120"/>
              <w:rPr/>
            </w:pPr>
            <w:r>
              <w:rPr/>
              <w:t>the status of the maintenance program being implemented by ENA and the intended condition and availability of the Assets as a result thereof;</w:t>
            </w:r>
          </w:p>
          <w:p>
            <w:pPr>
              <w:pStyle w:val="Term"/>
              <w:widowControl/>
              <w:tabs>
                <w:tab w:val="clear" w:pos="720"/>
                <w:tab w:val="left" w:pos="1602" w:leader="none"/>
              </w:tabs>
              <w:spacing w:before="0" w:after="120"/>
              <w:ind w:hanging="1080" w:start="1602" w:end="0"/>
              <w:rPr/>
            </w:pPr>
            <w:r>
              <w:rPr/>
              <w:t>(iv)</w:t>
              <w:tab/>
              <w:t>absence of liens and encumbrances on LLC Interests and Assets;</w:t>
            </w:r>
          </w:p>
          <w:p>
            <w:pPr>
              <w:pStyle w:val="Term"/>
              <w:widowControl/>
              <w:tabs>
                <w:tab w:val="clear" w:pos="720"/>
                <w:tab w:val="left" w:pos="1602" w:leader="none"/>
              </w:tabs>
              <w:spacing w:before="0" w:after="120"/>
              <w:ind w:hanging="1080" w:start="1602" w:end="0"/>
              <w:rPr/>
            </w:pPr>
            <w:r>
              <w:rPr/>
              <w:t>(v)</w:t>
              <w:tab/>
              <w:t xml:space="preserve"> inception statements;</w:t>
            </w:r>
          </w:p>
          <w:p>
            <w:pPr>
              <w:pStyle w:val="Term"/>
              <w:widowControl/>
              <w:tabs>
                <w:tab w:val="clear" w:pos="720"/>
                <w:tab w:val="left" w:pos="1602" w:leader="none"/>
              </w:tabs>
              <w:spacing w:before="0" w:after="120"/>
              <w:ind w:hanging="1080" w:start="1602" w:end="0"/>
              <w:rPr/>
            </w:pPr>
            <w:r>
              <w:rPr/>
              <w:t>(vi)</w:t>
              <w:tab/>
              <w:t>all government approvals necessary for transfer of LLC Interests or Assets or operation of Assets having been obtained or applied for;</w:t>
            </w:r>
          </w:p>
          <w:p>
            <w:pPr>
              <w:pStyle w:val="Term"/>
              <w:widowControl/>
              <w:tabs>
                <w:tab w:val="clear" w:pos="720"/>
                <w:tab w:val="left" w:pos="1602" w:leader="none"/>
              </w:tabs>
              <w:spacing w:before="0" w:after="120"/>
              <w:ind w:hanging="1080" w:start="1602" w:end="0"/>
              <w:rPr/>
            </w:pPr>
            <w:r>
              <w:rPr/>
              <w:t>(vii)</w:t>
              <w:tab/>
              <w:t>no violations of laws or government approvals;</w:t>
            </w:r>
          </w:p>
          <w:p>
            <w:pPr>
              <w:pStyle w:val="Term"/>
              <w:widowControl/>
              <w:tabs>
                <w:tab w:val="clear" w:pos="720"/>
                <w:tab w:val="left" w:pos="1602" w:leader="none"/>
              </w:tabs>
              <w:spacing w:before="0" w:after="120"/>
              <w:ind w:hanging="1080" w:start="1602" w:end="0"/>
              <w:rPr/>
            </w:pPr>
            <w:r>
              <w:rPr/>
              <w:t>(viii)</w:t>
              <w:tab/>
              <w:t>absence of litigation;</w:t>
            </w:r>
          </w:p>
          <w:p>
            <w:pPr>
              <w:pStyle w:val="Term"/>
              <w:widowControl/>
              <w:tabs>
                <w:tab w:val="clear" w:pos="720"/>
                <w:tab w:val="left" w:pos="1602" w:leader="none"/>
              </w:tabs>
              <w:spacing w:before="0" w:after="120"/>
              <w:ind w:hanging="1080" w:start="1602" w:end="0"/>
              <w:rPr/>
            </w:pPr>
            <w:r>
              <w:rPr/>
              <w:t>(ix)</w:t>
              <w:tab/>
              <w:t xml:space="preserve">absence of environmental claims or existence of hazardous materials at the Facilities’ sites (other than as required for ordinary course operations); </w:t>
            </w:r>
          </w:p>
          <w:p>
            <w:pPr>
              <w:pStyle w:val="Term"/>
              <w:widowControl/>
              <w:tabs>
                <w:tab w:val="clear" w:pos="720"/>
                <w:tab w:val="left" w:pos="1602" w:leader="none"/>
              </w:tabs>
              <w:spacing w:before="0" w:after="120"/>
              <w:ind w:hanging="1080" w:start="1602" w:end="0"/>
              <w:rPr/>
            </w:pPr>
            <w:r>
              <w:rPr/>
              <w:t>(x)</w:t>
              <w:tab/>
              <w:t>accuracy of disclosure and no omission of information;</w:t>
            </w:r>
          </w:p>
          <w:p>
            <w:pPr>
              <w:pStyle w:val="Term"/>
              <w:widowControl/>
              <w:tabs>
                <w:tab w:val="clear" w:pos="720"/>
                <w:tab w:val="left" w:pos="1602" w:leader="none"/>
              </w:tabs>
              <w:spacing w:before="0" w:after="120"/>
              <w:ind w:hanging="1080" w:start="1602" w:end="0"/>
              <w:rPr/>
            </w:pPr>
            <w:r>
              <w:rPr/>
              <w:t>(xi)</w:t>
              <w:tab/>
              <w:t>tax filings and payments having been made; and</w:t>
            </w:r>
          </w:p>
          <w:p>
            <w:pPr>
              <w:pStyle w:val="Term"/>
              <w:widowControl/>
              <w:tabs>
                <w:tab w:val="clear" w:pos="720"/>
                <w:tab w:val="left" w:pos="1602" w:leader="none"/>
              </w:tabs>
              <w:spacing w:before="0" w:after="120"/>
              <w:ind w:hanging="1080" w:start="1602" w:end="0"/>
              <w:rPr/>
            </w:pPr>
            <w:r>
              <w:rPr/>
              <w:t>(xii)</w:t>
              <w:tab/>
              <w:t>other customary matters.</w:t>
            </w:r>
          </w:p>
        </w:tc>
      </w:tr>
      <w:tr>
        <w:trPr/>
        <w:tc>
          <w:tcPr>
            <w:tcW w:w="1998" w:type="dxa"/>
            <w:tcBorders/>
          </w:tcPr>
          <w:p>
            <w:pPr>
              <w:pStyle w:val="ParaDot"/>
              <w:widowControl/>
              <w:snapToGrid w:val="false"/>
              <w:spacing w:before="0" w:after="240"/>
              <w:jc w:val="start"/>
              <w:rPr>
                <w:b/>
                <w:u w:val="double"/>
              </w:rPr>
            </w:pPr>
            <w:r>
              <w:rPr>
                <w:b/>
                <w:u w:val="double"/>
              </w:rPr>
            </w:r>
          </w:p>
        </w:tc>
        <w:tc>
          <w:tcPr>
            <w:tcW w:w="7578" w:type="dxa"/>
            <w:tcBorders/>
          </w:tcPr>
          <w:p>
            <w:pPr>
              <w:pStyle w:val="Term"/>
              <w:widowControl/>
              <w:tabs>
                <w:tab w:val="clear" w:pos="720"/>
                <w:tab w:val="left" w:pos="432" w:leader="none"/>
              </w:tabs>
              <w:spacing w:before="0" w:after="240"/>
              <w:ind w:hanging="432" w:start="432" w:end="0"/>
              <w:rPr/>
            </w:pPr>
            <w:r>
              <w:rPr/>
              <w:t>(d)</w:t>
              <w:tab/>
            </w:r>
            <w:r>
              <w:rPr>
                <w:u w:val="single"/>
              </w:rPr>
              <w:t>Indemnification</w:t>
            </w:r>
            <w:r>
              <w:rPr/>
              <w:t xml:space="preserve">.  ENA shall indemnify Highstar against any and all claims, costs, losses, liabilities, expenses etc. which Highstar may incur in connection with any matter constituting a breach of any of ENA’s representations, warranties and/or covenants.  Such indemnification shall remain for the period of one year from the Financial Closing Date; </w:t>
            </w:r>
            <w:r>
              <w:rPr>
                <w:u w:val="single"/>
              </w:rPr>
              <w:t>provided</w:t>
            </w:r>
            <w:r>
              <w:rPr/>
              <w:t xml:space="preserve"> that such one year limit shall not apply with respect to claims based on intentional misrepresentation. Highstar shall indemnify ENA against any and all claims, costs, losses, liabilities, expenses etc. which ENA may incur in connection with any matter constituting a breach of any of Highstar’s customary representations, warranties and/or covenants.  Such indemnification shall remain for the period of one year from the Financial Closing Date; </w:t>
            </w:r>
            <w:r>
              <w:rPr>
                <w:u w:val="single"/>
              </w:rPr>
              <w:t>provided</w:t>
            </w:r>
            <w:r>
              <w:rPr/>
              <w:t xml:space="preserve"> that such one year limit shall not apply with respect to claims based on intentional misrepresentation.</w:t>
            </w:r>
          </w:p>
        </w:tc>
      </w:tr>
      <w:tr>
        <w:trPr/>
        <w:tc>
          <w:tcPr>
            <w:tcW w:w="1998" w:type="dxa"/>
            <w:tcBorders/>
          </w:tcPr>
          <w:p>
            <w:pPr>
              <w:pStyle w:val="ParaDot"/>
              <w:widowControl/>
              <w:snapToGrid w:val="false"/>
              <w:spacing w:before="0" w:after="240"/>
              <w:jc w:val="start"/>
              <w:rPr>
                <w:b/>
                <w:u w:val="double"/>
              </w:rPr>
            </w:pPr>
            <w:r>
              <w:rPr>
                <w:b/>
                <w:u w:val="double"/>
              </w:rPr>
            </w:r>
          </w:p>
        </w:tc>
        <w:tc>
          <w:tcPr>
            <w:tcW w:w="7578" w:type="dxa"/>
            <w:tcBorders/>
          </w:tcPr>
          <w:p>
            <w:pPr>
              <w:pStyle w:val="Term"/>
              <w:widowControl/>
              <w:tabs>
                <w:tab w:val="clear" w:pos="720"/>
                <w:tab w:val="left" w:pos="432" w:leader="none"/>
              </w:tabs>
              <w:spacing w:before="0" w:after="240"/>
              <w:ind w:hanging="432" w:start="432" w:end="0"/>
              <w:rPr/>
            </w:pPr>
            <w:r>
              <w:rPr/>
              <w:t>(e)</w:t>
              <w:tab/>
            </w:r>
            <w:r>
              <w:rPr>
                <w:u w:val="single"/>
              </w:rPr>
              <w:t>Governing Law and Arbitration</w:t>
            </w:r>
            <w:r>
              <w:rPr/>
              <w:t>.  The Securities Purchase Agreement shall be governed by New York law and shall contain provisions for resolution of disputes through management negotiation and, if necessary, arbitration in New York County, New York in accordance with the Commercial Arbitration Rules of the American Arbitration Association.</w:t>
            </w:r>
          </w:p>
        </w:tc>
      </w:tr>
      <w:tr>
        <w:trPr/>
        <w:tc>
          <w:tcPr>
            <w:tcW w:w="1998" w:type="dxa"/>
            <w:tcBorders/>
          </w:tcPr>
          <w:p>
            <w:pPr>
              <w:pStyle w:val="Term"/>
              <w:widowControl/>
              <w:tabs>
                <w:tab w:val="clear" w:pos="720"/>
                <w:tab w:val="left" w:pos="432" w:leader="none"/>
              </w:tabs>
              <w:spacing w:before="0" w:after="240"/>
              <w:ind w:hanging="432" w:start="432" w:end="0"/>
              <w:jc w:val="start"/>
              <w:rPr/>
            </w:pPr>
            <w:r>
              <w:rPr/>
              <w:t>5.</w:t>
              <w:tab/>
              <w:t>CP&amp;L</w:t>
              <w:br/>
            </w:r>
            <w:r>
              <w:rPr>
                <w:u w:val="single"/>
              </w:rPr>
              <w:t>Agreement</w:t>
            </w:r>
            <w:r>
              <w:rPr/>
              <w:t>:</w:t>
            </w:r>
          </w:p>
        </w:tc>
        <w:tc>
          <w:tcPr>
            <w:tcW w:w="7578" w:type="dxa"/>
            <w:tcBorders/>
          </w:tcPr>
          <w:p>
            <w:pPr>
              <w:pStyle w:val="Term"/>
              <w:widowControl/>
              <w:spacing w:before="0" w:after="240"/>
              <w:ind w:hanging="0" w:start="0" w:end="0"/>
              <w:rPr>
                <w:u w:val="single"/>
              </w:rPr>
            </w:pPr>
            <w:r>
              <w:rPr>
                <w:color w:val="000000"/>
              </w:rPr>
              <w:t xml:space="preserve">NCPH has entered into a unit-contingent Call Option Agreement with </w:t>
            </w:r>
            <w:r>
              <w:rPr/>
              <w:t xml:space="preserve">Carolina Power &amp; Light Company (“CP&amp;L”) </w:t>
            </w:r>
            <w:r>
              <w:rPr>
                <w:color w:val="000000"/>
              </w:rPr>
              <w:t xml:space="preserve">in the form attached hereto as </w:t>
            </w:r>
            <w:r>
              <w:rPr>
                <w:color w:val="000000"/>
                <w:u w:val="single"/>
              </w:rPr>
              <w:t xml:space="preserve">Exhibit </w:t>
            </w:r>
            <w:r>
              <w:rPr>
                <w:color w:val="000000"/>
              </w:rPr>
              <w:t>B (the “CP&amp;L Agreement”), whereby CP&amp;L has been granted a daily on-peak call option from May 1, 2001 through December 31, 2001, on a day-ahead basis.  On the Financial Closing Date, Highstar will procure credit support for NCPH’s obligations under the CP&amp;L Agreement in a form acceptable to Highstar, ENA and CP&amp;L.</w:t>
            </w:r>
          </w:p>
        </w:tc>
      </w:tr>
      <w:tr>
        <w:trPr/>
        <w:tc>
          <w:tcPr>
            <w:tcW w:w="1998" w:type="dxa"/>
            <w:tcBorders/>
          </w:tcPr>
          <w:p>
            <w:pPr>
              <w:pStyle w:val="Term"/>
              <w:widowControl/>
              <w:tabs>
                <w:tab w:val="clear" w:pos="720"/>
                <w:tab w:val="left" w:pos="432" w:leader="none"/>
              </w:tabs>
              <w:spacing w:before="0" w:after="240"/>
              <w:ind w:hanging="432" w:start="432" w:end="0"/>
              <w:jc w:val="start"/>
              <w:rPr/>
            </w:pPr>
            <w:r>
              <w:rPr/>
              <w:t>6.</w:t>
              <w:tab/>
            </w:r>
            <w:r>
              <w:rPr>
                <w:u w:val="single"/>
              </w:rPr>
              <w:t>Financial Put</w:t>
            </w:r>
            <w:r>
              <w:rPr/>
              <w:t>:</w:t>
            </w:r>
          </w:p>
        </w:tc>
        <w:tc>
          <w:tcPr>
            <w:tcW w:w="7578" w:type="dxa"/>
            <w:tcBorders/>
          </w:tcPr>
          <w:p>
            <w:pPr>
              <w:pStyle w:val="Term"/>
              <w:widowControl/>
              <w:spacing w:before="0" w:after="240"/>
              <w:ind w:hanging="0" w:start="0" w:end="0"/>
              <w:rPr>
                <w:u w:val="single"/>
              </w:rPr>
            </w:pPr>
            <w:r>
              <w:rPr/>
              <w:t>On the Closing Date, ENA and Highstar will enter into a Financial Put Option Agreement (the “2001 Put Option”) whereby Highstar will (for the term of the CP&amp;L Agreement) receive from ENA a daily on-peak put option against the Megawatt Daily Into TVA Index, with a strike price of $45/MWh.  On any day that the Into TVA Index settles (as published in Megawatt Daily) below the strike price, the put will automatically exercise and Highstar will receive the difference between the strike price and the settlement price for the contract quantity.</w:t>
            </w:r>
          </w:p>
        </w:tc>
      </w:tr>
      <w:tr>
        <w:trPr/>
        <w:tc>
          <w:tcPr>
            <w:tcW w:w="1998" w:type="dxa"/>
            <w:tcBorders/>
          </w:tcPr>
          <w:p>
            <w:pPr>
              <w:pStyle w:val="Term"/>
              <w:widowControl/>
              <w:tabs>
                <w:tab w:val="clear" w:pos="720"/>
                <w:tab w:val="left" w:pos="432" w:leader="none"/>
              </w:tabs>
              <w:spacing w:before="0" w:after="240"/>
              <w:ind w:hanging="432" w:start="432" w:end="0"/>
              <w:jc w:val="start"/>
              <w:rPr/>
            </w:pPr>
            <w:r>
              <w:rPr/>
              <w:t>7.</w:t>
              <w:tab/>
              <w:t>Asset Management</w:t>
            </w:r>
            <w:r>
              <w:rPr>
                <w:u w:val="single"/>
              </w:rPr>
              <w:t xml:space="preserve"> Agreement</w:t>
            </w:r>
            <w:r>
              <w:rPr/>
              <w:t>:</w:t>
            </w:r>
          </w:p>
        </w:tc>
        <w:tc>
          <w:tcPr>
            <w:tcW w:w="7578" w:type="dxa"/>
            <w:tcBorders/>
          </w:tcPr>
          <w:p>
            <w:pPr>
              <w:pStyle w:val="Term"/>
              <w:widowControl/>
              <w:spacing w:before="0" w:after="240"/>
              <w:ind w:hanging="0" w:start="0" w:end="0"/>
              <w:rPr/>
            </w:pPr>
            <w:r>
              <w:rPr/>
              <w:t xml:space="preserve">On the Closing Date, ENA will enter into an Asset Management Agreement (the “Asset Management Agreement”) with NCPH on, </w:t>
            </w:r>
            <w:r>
              <w:rPr>
                <w:i/>
              </w:rPr>
              <w:t>inter alia</w:t>
            </w:r>
            <w:r>
              <w:rPr/>
              <w:t>, the following terms and conditions:</w:t>
            </w:r>
          </w:p>
        </w:tc>
      </w:tr>
      <w:tr>
        <w:trPr/>
        <w:tc>
          <w:tcPr>
            <w:tcW w:w="1998" w:type="dxa"/>
            <w:tcBorders/>
          </w:tcPr>
          <w:p>
            <w:pPr>
              <w:pStyle w:val="ParaDot"/>
              <w:widowControl/>
              <w:snapToGrid w:val="false"/>
              <w:spacing w:before="0" w:after="240"/>
              <w:jc w:val="start"/>
              <w:rPr/>
            </w:pPr>
            <w:r>
              <w:rPr/>
            </w:r>
          </w:p>
        </w:tc>
        <w:tc>
          <w:tcPr>
            <w:tcW w:w="7578" w:type="dxa"/>
            <w:tcBorders/>
          </w:tcPr>
          <w:p>
            <w:pPr>
              <w:pStyle w:val="Term"/>
              <w:widowControl/>
              <w:tabs>
                <w:tab w:val="clear" w:pos="720"/>
                <w:tab w:val="left" w:pos="432" w:leader="none"/>
              </w:tabs>
              <w:spacing w:before="0" w:after="240"/>
              <w:ind w:hanging="432" w:start="432" w:end="0"/>
              <w:rPr/>
            </w:pPr>
            <w:r>
              <w:rPr/>
              <w:t>(a)</w:t>
              <w:tab/>
            </w:r>
            <w:r>
              <w:rPr>
                <w:u w:val="single"/>
              </w:rPr>
              <w:t>Term</w:t>
            </w:r>
            <w:r>
              <w:rPr/>
              <w:t>.  The term of the Asset Management Agreement will commence on the Financial Closing Date and continue until the earlier to occur of December 31, 2001 or the Sale of the LLC Interests or Assets by Highstar.</w:t>
            </w:r>
          </w:p>
        </w:tc>
      </w:tr>
      <w:tr>
        <w:trPr/>
        <w:tc>
          <w:tcPr>
            <w:tcW w:w="1998" w:type="dxa"/>
            <w:tcBorders/>
          </w:tcPr>
          <w:p>
            <w:pPr>
              <w:pStyle w:val="ParaDot"/>
              <w:widowControl/>
              <w:snapToGrid w:val="false"/>
              <w:spacing w:before="0" w:after="240"/>
              <w:jc w:val="start"/>
              <w:rPr/>
            </w:pPr>
            <w:r>
              <w:rPr/>
            </w:r>
          </w:p>
        </w:tc>
        <w:tc>
          <w:tcPr>
            <w:tcW w:w="7578" w:type="dxa"/>
            <w:tcBorders/>
          </w:tcPr>
          <w:p>
            <w:pPr>
              <w:pStyle w:val="Term"/>
              <w:widowControl/>
              <w:tabs>
                <w:tab w:val="clear" w:pos="720"/>
                <w:tab w:val="left" w:pos="432" w:leader="none"/>
              </w:tabs>
              <w:spacing w:before="0" w:after="240"/>
              <w:ind w:hanging="432" w:start="432" w:end="0"/>
              <w:rPr/>
            </w:pPr>
            <w:r>
              <w:rPr/>
              <w:t>(b)</w:t>
              <w:tab/>
            </w:r>
            <w:r>
              <w:rPr>
                <w:u w:val="single"/>
              </w:rPr>
              <w:t>Scope</w:t>
            </w:r>
            <w:r>
              <w:rPr/>
              <w:t>.  ENA will oversee, administer and manage the Assets, provide all back-office support, including energy and transmission scheduling, administration of Facility Contracts, bill preparation, collection and reporting to NCPH and Highstar and will have the right to subcontract out all or a portion of such services with Highstar’s prior consent (which shall not be unreasonably withheld).  NCPH will retain management control with respect to the operation of the Assets.</w:t>
            </w:r>
          </w:p>
        </w:tc>
      </w:tr>
      <w:tr>
        <w:trPr/>
        <w:tc>
          <w:tcPr>
            <w:tcW w:w="1998" w:type="dxa"/>
            <w:tcBorders/>
          </w:tcPr>
          <w:p>
            <w:pPr>
              <w:pStyle w:val="ParaDot"/>
              <w:widowControl/>
              <w:snapToGrid w:val="false"/>
              <w:spacing w:before="0" w:after="240"/>
              <w:jc w:val="start"/>
              <w:rPr/>
            </w:pPr>
            <w:r>
              <w:rPr/>
            </w:r>
          </w:p>
        </w:tc>
        <w:tc>
          <w:tcPr>
            <w:tcW w:w="7578" w:type="dxa"/>
            <w:tcBorders/>
          </w:tcPr>
          <w:p>
            <w:pPr>
              <w:pStyle w:val="Term"/>
              <w:widowControl/>
              <w:tabs>
                <w:tab w:val="clear" w:pos="720"/>
                <w:tab w:val="left" w:pos="432" w:leader="none"/>
              </w:tabs>
              <w:spacing w:before="0" w:after="240"/>
              <w:ind w:hanging="432" w:start="432" w:end="0"/>
              <w:rPr/>
            </w:pPr>
            <w:r>
              <w:rPr/>
              <w:t>(c)</w:t>
              <w:tab/>
            </w:r>
            <w:r>
              <w:rPr>
                <w:u w:val="single"/>
              </w:rPr>
              <w:t>Standard of Care</w:t>
            </w:r>
            <w:r>
              <w:rPr/>
              <w:t xml:space="preserve">.  ENA will perform its duties under the Asset Management Agreement in such a manner as would be expected of a reasonably prudent asset manager acting for its own account. </w:t>
            </w:r>
          </w:p>
        </w:tc>
      </w:tr>
      <w:tr>
        <w:trPr/>
        <w:tc>
          <w:tcPr>
            <w:tcW w:w="1998" w:type="dxa"/>
            <w:tcBorders/>
          </w:tcPr>
          <w:p>
            <w:pPr>
              <w:pStyle w:val="ParaDot"/>
              <w:widowControl/>
              <w:snapToGrid w:val="false"/>
              <w:spacing w:before="0" w:after="240"/>
              <w:jc w:val="start"/>
              <w:rPr/>
            </w:pPr>
            <w:r>
              <w:rPr/>
            </w:r>
          </w:p>
        </w:tc>
        <w:tc>
          <w:tcPr>
            <w:tcW w:w="7578" w:type="dxa"/>
            <w:tcBorders/>
          </w:tcPr>
          <w:p>
            <w:pPr>
              <w:pStyle w:val="Term"/>
              <w:widowControl/>
              <w:tabs>
                <w:tab w:val="clear" w:pos="720"/>
                <w:tab w:val="left" w:pos="432" w:leader="none"/>
              </w:tabs>
              <w:spacing w:before="0" w:after="240"/>
              <w:ind w:hanging="432" w:start="432" w:end="0"/>
              <w:rPr/>
            </w:pPr>
            <w:r>
              <w:rPr/>
              <w:t>(d)</w:t>
              <w:tab/>
            </w:r>
            <w:r>
              <w:rPr>
                <w:u w:val="single"/>
              </w:rPr>
              <w:t>Power Marketing</w:t>
            </w:r>
            <w:r>
              <w:rPr/>
              <w:t xml:space="preserve">.  To the extent that ENA, under the terms of the Asset Management Agreement, sells output from the Assets into the wholesale market, such sale will be conducted on commercially reasonable terms (to be specified in the Asset Management Agreement). </w:t>
            </w:r>
          </w:p>
        </w:tc>
      </w:tr>
      <w:tr>
        <w:trPr/>
        <w:tc>
          <w:tcPr>
            <w:tcW w:w="1998" w:type="dxa"/>
            <w:tcBorders/>
          </w:tcPr>
          <w:p>
            <w:pPr>
              <w:pStyle w:val="ParaDot"/>
              <w:widowControl/>
              <w:snapToGrid w:val="false"/>
              <w:spacing w:before="0" w:after="240"/>
              <w:jc w:val="start"/>
              <w:rPr/>
            </w:pPr>
            <w:r>
              <w:rPr/>
            </w:r>
          </w:p>
        </w:tc>
        <w:tc>
          <w:tcPr>
            <w:tcW w:w="7578" w:type="dxa"/>
            <w:tcBorders/>
          </w:tcPr>
          <w:p>
            <w:pPr>
              <w:pStyle w:val="Term"/>
              <w:widowControl/>
              <w:tabs>
                <w:tab w:val="clear" w:pos="720"/>
                <w:tab w:val="left" w:pos="432" w:leader="none"/>
              </w:tabs>
              <w:spacing w:before="0" w:after="240"/>
              <w:ind w:hanging="432" w:start="432" w:end="0"/>
              <w:rPr/>
            </w:pPr>
            <w:r>
              <w:rPr/>
              <w:t>(e)</w:t>
              <w:tab/>
            </w:r>
            <w:r>
              <w:rPr>
                <w:u w:val="single"/>
              </w:rPr>
              <w:t>Administrative Fee</w:t>
            </w:r>
            <w:r>
              <w:rPr/>
              <w:t xml:space="preserve">.  NCPH will pay ENA a monthly administrative fee of $10,000, plus $0.25/MWh for each physical MWh sold by NCPH outside of the terms of the CP&amp;L Agreement. </w:t>
            </w:r>
          </w:p>
        </w:tc>
      </w:tr>
      <w:tr>
        <w:trPr/>
        <w:tc>
          <w:tcPr>
            <w:tcW w:w="1998" w:type="dxa"/>
            <w:tcBorders/>
          </w:tcPr>
          <w:p>
            <w:pPr>
              <w:pStyle w:val="ParaDot"/>
              <w:widowControl/>
              <w:snapToGrid w:val="false"/>
              <w:spacing w:before="0" w:after="240"/>
              <w:jc w:val="start"/>
              <w:rPr/>
            </w:pPr>
            <w:r>
              <w:rPr/>
            </w:r>
          </w:p>
        </w:tc>
        <w:tc>
          <w:tcPr>
            <w:tcW w:w="7578" w:type="dxa"/>
            <w:tcBorders/>
          </w:tcPr>
          <w:p>
            <w:pPr>
              <w:pStyle w:val="Term"/>
              <w:widowControl/>
              <w:tabs>
                <w:tab w:val="clear" w:pos="720"/>
                <w:tab w:val="left" w:pos="432" w:leader="none"/>
              </w:tabs>
              <w:spacing w:before="0" w:after="240"/>
              <w:ind w:hanging="432" w:start="432" w:end="0"/>
              <w:rPr/>
            </w:pPr>
            <w:r>
              <w:rPr/>
              <w:t>(f)</w:t>
              <w:tab/>
            </w:r>
            <w:r>
              <w:rPr>
                <w:u w:val="single"/>
              </w:rPr>
              <w:t>Marketing Expenses</w:t>
            </w:r>
            <w:r>
              <w:rPr/>
              <w:t>.  ENA will be entitled to recover any Marketing Expenses incurred by ENA in selling the output from the Assets.  “Marketing Expenses” will include all reasonable and customary third-party brokerage fees, marketing transaction costs, RTO costs, transmission costs and any other actual costs necessary to provide energy, capacity and ancillary services from the Assets to the market and/or purchaser.</w:t>
            </w:r>
          </w:p>
        </w:tc>
      </w:tr>
      <w:tr>
        <w:trPr/>
        <w:tc>
          <w:tcPr>
            <w:tcW w:w="1998" w:type="dxa"/>
            <w:tcBorders/>
          </w:tcPr>
          <w:p>
            <w:pPr>
              <w:pStyle w:val="ParaDot"/>
              <w:widowControl/>
              <w:snapToGrid w:val="false"/>
              <w:spacing w:before="0" w:after="240"/>
              <w:jc w:val="start"/>
              <w:rPr/>
            </w:pPr>
            <w:r>
              <w:rPr/>
            </w:r>
          </w:p>
        </w:tc>
        <w:tc>
          <w:tcPr>
            <w:tcW w:w="7578" w:type="dxa"/>
            <w:tcBorders/>
          </w:tcPr>
          <w:p>
            <w:pPr>
              <w:pStyle w:val="Term"/>
              <w:widowControl/>
              <w:tabs>
                <w:tab w:val="clear" w:pos="720"/>
                <w:tab w:val="left" w:pos="432" w:leader="none"/>
              </w:tabs>
              <w:spacing w:before="0" w:after="240"/>
              <w:ind w:hanging="432" w:start="432" w:end="0"/>
              <w:rPr>
                <w:b/>
                <w:u w:val="double"/>
              </w:rPr>
            </w:pPr>
            <w:r>
              <w:rPr/>
              <w:t>(g)</w:t>
              <w:tab/>
            </w:r>
            <w:r>
              <w:rPr>
                <w:u w:val="single"/>
              </w:rPr>
              <w:t>No Partnership</w:t>
            </w:r>
            <w:r>
              <w:rPr/>
              <w:t>.  The Asset Management Agreement will acknowledge the absence of any partnership or other form of relationship or association creating fiduciary duties from ENA to NCPH and incorporate other terms to be agreed, including, without limitation, a covenant for ENA to comply with appropriate risk management policies and procedures.</w:t>
            </w:r>
          </w:p>
        </w:tc>
      </w:tr>
      <w:tr>
        <w:trPr/>
        <w:tc>
          <w:tcPr>
            <w:tcW w:w="1998" w:type="dxa"/>
            <w:tcBorders/>
          </w:tcPr>
          <w:p>
            <w:pPr>
              <w:pStyle w:val="ParaDot"/>
              <w:widowControl/>
              <w:snapToGrid w:val="false"/>
              <w:spacing w:before="0" w:after="240"/>
              <w:jc w:val="start"/>
              <w:rPr>
                <w:b/>
                <w:u w:val="double"/>
              </w:rPr>
            </w:pPr>
            <w:r>
              <w:rPr>
                <w:b/>
                <w:u w:val="double"/>
              </w:rPr>
            </w:r>
          </w:p>
        </w:tc>
        <w:tc>
          <w:tcPr>
            <w:tcW w:w="7578" w:type="dxa"/>
            <w:tcBorders/>
          </w:tcPr>
          <w:p>
            <w:pPr>
              <w:pStyle w:val="Term"/>
              <w:widowControl/>
              <w:tabs>
                <w:tab w:val="clear" w:pos="720"/>
                <w:tab w:val="left" w:pos="432" w:leader="none"/>
              </w:tabs>
              <w:spacing w:before="0" w:after="240"/>
              <w:ind w:hanging="432" w:start="432" w:end="0"/>
              <w:rPr/>
            </w:pPr>
            <w:r>
              <w:rPr/>
              <w:t>(h)</w:t>
              <w:tab/>
            </w:r>
            <w:r>
              <w:rPr>
                <w:u w:val="single"/>
              </w:rPr>
              <w:t>Governing Law and Arbitration</w:t>
            </w:r>
            <w:r>
              <w:rPr/>
              <w:t>.  The Asset Management Agreement shall be governed by New York law and shall contain provisions for resolution of disputes through management negotiation and, if necessary, arbitration in New York County, New York in accordance with the Commercial Arbitration Rules of the American Arbitration Association.</w:t>
            </w:r>
          </w:p>
        </w:tc>
      </w:tr>
      <w:tr>
        <w:trPr/>
        <w:tc>
          <w:tcPr>
            <w:tcW w:w="1998" w:type="dxa"/>
            <w:tcBorders/>
          </w:tcPr>
          <w:p>
            <w:pPr>
              <w:pStyle w:val="Term"/>
              <w:widowControl/>
              <w:tabs>
                <w:tab w:val="clear" w:pos="720"/>
                <w:tab w:val="left" w:pos="432" w:leader="none"/>
              </w:tabs>
              <w:spacing w:before="0" w:after="240"/>
              <w:ind w:hanging="432" w:start="432" w:end="0"/>
              <w:rPr/>
            </w:pPr>
            <w:r>
              <w:rPr/>
              <w:t>8.</w:t>
              <w:tab/>
              <w:t xml:space="preserve">Brokerage </w:t>
            </w:r>
            <w:r>
              <w:rPr>
                <w:u w:val="single"/>
              </w:rPr>
              <w:t>Agreement</w:t>
            </w:r>
            <w:r>
              <w:rPr/>
              <w:t>:</w:t>
            </w:r>
          </w:p>
        </w:tc>
        <w:tc>
          <w:tcPr>
            <w:tcW w:w="7578" w:type="dxa"/>
            <w:tcBorders/>
          </w:tcPr>
          <w:p>
            <w:pPr>
              <w:pStyle w:val="Term"/>
              <w:widowControl/>
              <w:spacing w:before="0" w:after="240"/>
              <w:ind w:hanging="0" w:start="0" w:end="0"/>
              <w:rPr/>
            </w:pPr>
            <w:r>
              <w:rPr/>
              <w:t xml:space="preserve">On the Closing Date, ENA and Highstar will enter into a Brokerage Agreement whereby ENA will act as agent on behalf of Highstar for any Sale.  The Brokerage Agreement will include, </w:t>
            </w:r>
            <w:r>
              <w:rPr>
                <w:i/>
              </w:rPr>
              <w:t>inter alia</w:t>
            </w:r>
            <w:r>
              <w:rPr/>
              <w:t>, the following terms and conditions:</w:t>
            </w:r>
          </w:p>
        </w:tc>
      </w:tr>
      <w:tr>
        <w:trPr/>
        <w:tc>
          <w:tcPr>
            <w:tcW w:w="1998" w:type="dxa"/>
            <w:tcBorders/>
          </w:tcPr>
          <w:p>
            <w:pPr>
              <w:pStyle w:val="ParaDot"/>
              <w:widowControl/>
              <w:snapToGrid w:val="false"/>
              <w:spacing w:before="0" w:after="240"/>
              <w:jc w:val="start"/>
              <w:rPr/>
            </w:pPr>
            <w:r>
              <w:rPr/>
            </w:r>
          </w:p>
        </w:tc>
        <w:tc>
          <w:tcPr>
            <w:tcW w:w="7578" w:type="dxa"/>
            <w:tcBorders/>
          </w:tcPr>
          <w:p>
            <w:pPr>
              <w:pStyle w:val="Term"/>
              <w:widowControl/>
              <w:tabs>
                <w:tab w:val="clear" w:pos="720"/>
                <w:tab w:val="left" w:pos="432" w:leader="none"/>
              </w:tabs>
              <w:spacing w:before="0" w:after="240"/>
              <w:ind w:hanging="432" w:start="432" w:end="0"/>
              <w:rPr/>
            </w:pPr>
            <w:r>
              <w:rPr/>
              <w:t>(a)</w:t>
              <w:tab/>
            </w:r>
            <w:r>
              <w:rPr>
                <w:u w:val="single"/>
              </w:rPr>
              <w:t>Obligation to Transact</w:t>
            </w:r>
            <w:r>
              <w:rPr/>
              <w:t>.  Highstar will only be obligated to consummate a Sale on substantially the same standard terms and conditions set forth in the Securities Purchase Agreement</w:t>
            </w:r>
            <w:r>
              <w:rPr>
                <w:b/>
              </w:rPr>
              <w:t xml:space="preserve"> </w:t>
            </w:r>
            <w:r>
              <w:rPr/>
              <w:t>between ENA and Highstar as long as the Purchase Price set forth thereon exceeds $25,500,000, plus all fees and expenses incurred or expected to be incurred by ENA and Highstar in connection with such Sale, plus (to the extent theretofore not realized from operating profits) a commercially reasonable return (to be specified in the Brokerage Agreement) to Highstar.</w:t>
            </w:r>
          </w:p>
        </w:tc>
      </w:tr>
      <w:tr>
        <w:trPr/>
        <w:tc>
          <w:tcPr>
            <w:tcW w:w="1998" w:type="dxa"/>
            <w:tcBorders/>
          </w:tcPr>
          <w:p>
            <w:pPr>
              <w:pStyle w:val="ParaDot"/>
              <w:widowControl/>
              <w:snapToGrid w:val="false"/>
              <w:spacing w:before="0" w:after="240"/>
              <w:jc w:val="start"/>
              <w:rPr/>
            </w:pPr>
            <w:r>
              <w:rPr/>
            </w:r>
          </w:p>
        </w:tc>
        <w:tc>
          <w:tcPr>
            <w:tcW w:w="7578" w:type="dxa"/>
            <w:tcBorders/>
          </w:tcPr>
          <w:p>
            <w:pPr>
              <w:pStyle w:val="Term"/>
              <w:widowControl/>
              <w:tabs>
                <w:tab w:val="clear" w:pos="720"/>
                <w:tab w:val="left" w:pos="432" w:leader="none"/>
              </w:tabs>
              <w:spacing w:before="0" w:after="240"/>
              <w:ind w:hanging="432" w:start="432" w:end="0"/>
              <w:rPr/>
            </w:pPr>
            <w:r>
              <w:rPr/>
              <w:t>(b)</w:t>
              <w:tab/>
            </w:r>
            <w:r>
              <w:rPr>
                <w:u w:val="single"/>
              </w:rPr>
              <w:t>Proceeds of Closing</w:t>
            </w:r>
            <w:r>
              <w:rPr/>
              <w:t>.  Proceeds from the closing of the Sale will be distributed as follows:  (i) ENA and Highstar will be reimbursed (on an equal priority basis) for all expenses reasonably incurred in connection with the Sale; (ii) Highstar will receive all amounts collected up to the initial purchase price paid by Highstar pursuant to Section 4(a) above plus (to the extent theretofore not realized from operating profits) a commercially reasonable return (to be specified in the Brokerage Agreement); and (iii) any remaining funds will be distributed as follows:</w:t>
            </w:r>
          </w:p>
        </w:tc>
      </w:tr>
    </w:tbl>
    <w:p>
      <w:pPr>
        <w:pStyle w:val="Normal"/>
        <w:widowControl/>
        <w:rPr/>
      </w:pPr>
      <w:r>
        <w:rPr/>
      </w:r>
    </w:p>
    <w:tbl>
      <w:tblPr>
        <w:tblW w:w="6030" w:type="dxa"/>
        <w:jc w:val="start"/>
        <w:tblInd w:w="2880" w:type="dxa"/>
        <w:tblLayout w:type="fixed"/>
        <w:tblCellMar>
          <w:top w:w="0" w:type="dxa"/>
          <w:start w:w="108" w:type="dxa"/>
          <w:bottom w:w="0" w:type="dxa"/>
          <w:end w:w="108" w:type="dxa"/>
        </w:tblCellMar>
      </w:tblPr>
      <w:tblGrid>
        <w:gridCol w:w="2010"/>
        <w:gridCol w:w="2010"/>
        <w:gridCol w:w="2010"/>
      </w:tblGrid>
      <w:tr>
        <w:trPr/>
        <w:tc>
          <w:tcPr>
            <w:tcW w:w="2010" w:type="dxa"/>
            <w:tcBorders>
              <w:top w:val="single" w:sz="6" w:space="0" w:color="000000"/>
              <w:start w:val="single" w:sz="6" w:space="0" w:color="000000"/>
              <w:bottom w:val="single" w:sz="6" w:space="0" w:color="000000"/>
              <w:end w:val="single" w:sz="6" w:space="0" w:color="000000"/>
            </w:tcBorders>
            <w:shd w:fill="B2B2B2" w:val="clear"/>
          </w:tcPr>
          <w:p>
            <w:pPr>
              <w:pStyle w:val="Normal"/>
              <w:keepNext w:val="true"/>
              <w:keepLines/>
              <w:widowControl/>
              <w:jc w:val="center"/>
              <w:rPr>
                <w:b/>
              </w:rPr>
            </w:pPr>
            <w:r>
              <w:rPr>
                <w:b/>
              </w:rPr>
              <w:t>Months from Closing Date to Sale</w:t>
            </w:r>
          </w:p>
        </w:tc>
        <w:tc>
          <w:tcPr>
            <w:tcW w:w="2010" w:type="dxa"/>
            <w:tcBorders>
              <w:top w:val="single" w:sz="6" w:space="0" w:color="000000"/>
              <w:start w:val="single" w:sz="6" w:space="0" w:color="000000"/>
              <w:bottom w:val="single" w:sz="6" w:space="0" w:color="000000"/>
              <w:end w:val="single" w:sz="6" w:space="0" w:color="000000"/>
            </w:tcBorders>
            <w:shd w:fill="B2B2B2" w:val="clear"/>
          </w:tcPr>
          <w:p>
            <w:pPr>
              <w:pStyle w:val="Normal"/>
              <w:keepNext w:val="true"/>
              <w:keepLines/>
              <w:widowControl/>
              <w:jc w:val="center"/>
              <w:rPr>
                <w:b/>
              </w:rPr>
            </w:pPr>
            <w:r>
              <w:rPr>
                <w:b/>
              </w:rPr>
              <w:t>Proceeds</w:t>
              <w:br/>
              <w:t>Retained by Highstar</w:t>
            </w:r>
          </w:p>
        </w:tc>
        <w:tc>
          <w:tcPr>
            <w:tcW w:w="2010" w:type="dxa"/>
            <w:tcBorders>
              <w:top w:val="single" w:sz="6" w:space="0" w:color="000000"/>
              <w:start w:val="single" w:sz="6" w:space="0" w:color="000000"/>
              <w:bottom w:val="single" w:sz="6" w:space="0" w:color="000000"/>
              <w:end w:val="single" w:sz="6" w:space="0" w:color="000000"/>
            </w:tcBorders>
            <w:shd w:fill="B2B2B2" w:val="clear"/>
          </w:tcPr>
          <w:p>
            <w:pPr>
              <w:pStyle w:val="Normal"/>
              <w:keepNext w:val="true"/>
              <w:keepLines/>
              <w:widowControl/>
              <w:jc w:val="center"/>
              <w:rPr>
                <w:b/>
              </w:rPr>
            </w:pPr>
            <w:r>
              <w:rPr>
                <w:b/>
              </w:rPr>
              <w:t>Proceeds Payable to ENA</w:t>
            </w:r>
          </w:p>
        </w:tc>
      </w:tr>
      <w:tr>
        <w:trPr/>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pPr>
            <w:r>
              <w:rPr/>
              <w:t>8 months or less</w:t>
            </w:r>
          </w:p>
        </w:tc>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pPr>
            <w:r>
              <w:rPr/>
              <w:t>10%</w:t>
            </w:r>
          </w:p>
        </w:tc>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pPr>
            <w:r>
              <w:rPr/>
              <w:t>90%</w:t>
            </w:r>
          </w:p>
        </w:tc>
      </w:tr>
      <w:tr>
        <w:trPr/>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pPr>
            <w:r>
              <w:rPr/>
              <w:t>9</w:t>
            </w:r>
          </w:p>
        </w:tc>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pPr>
            <w:r>
              <w:rPr/>
              <w:t>20%</w:t>
            </w:r>
          </w:p>
        </w:tc>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pPr>
            <w:r>
              <w:rPr/>
              <w:t>80%</w:t>
            </w:r>
          </w:p>
        </w:tc>
      </w:tr>
      <w:tr>
        <w:trPr/>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pPr>
            <w:r>
              <w:rPr/>
              <w:t>10-11</w:t>
            </w:r>
          </w:p>
        </w:tc>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pPr>
            <w:r>
              <w:rPr/>
              <w:t>30%</w:t>
            </w:r>
          </w:p>
        </w:tc>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pPr>
            <w:r>
              <w:rPr/>
              <w:t>70%</w:t>
            </w:r>
          </w:p>
        </w:tc>
      </w:tr>
      <w:tr>
        <w:trPr/>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pPr>
            <w:r>
              <w:rPr/>
              <w:t>12</w:t>
            </w:r>
          </w:p>
        </w:tc>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pPr>
            <w:r>
              <w:rPr/>
              <w:t>35%</w:t>
            </w:r>
          </w:p>
        </w:tc>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pPr>
            <w:r>
              <w:rPr/>
              <w:t>65%</w:t>
            </w:r>
          </w:p>
        </w:tc>
      </w:tr>
      <w:tr>
        <w:trPr/>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pPr>
            <w:r>
              <w:rPr/>
              <w:t>13</w:t>
            </w:r>
          </w:p>
        </w:tc>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pPr>
            <w:r>
              <w:rPr/>
              <w:t>40%</w:t>
            </w:r>
          </w:p>
        </w:tc>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pPr>
            <w:r>
              <w:rPr/>
              <w:t>60%</w:t>
            </w:r>
          </w:p>
        </w:tc>
      </w:tr>
      <w:tr>
        <w:trPr/>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pPr>
            <w:r>
              <w:rPr/>
              <w:t>14</w:t>
            </w:r>
          </w:p>
        </w:tc>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pPr>
            <w:r>
              <w:rPr/>
              <w:t>45%</w:t>
            </w:r>
          </w:p>
        </w:tc>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pPr>
            <w:r>
              <w:rPr/>
              <w:t>55%</w:t>
            </w:r>
          </w:p>
        </w:tc>
      </w:tr>
      <w:tr>
        <w:trPr/>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pPr>
            <w:r>
              <w:rPr/>
              <w:t>15</w:t>
            </w:r>
          </w:p>
        </w:tc>
        <w:tc>
          <w:tcPr>
            <w:tcW w:w="2010" w:type="dxa"/>
            <w:tcBorders>
              <w:top w:val="single" w:sz="6" w:space="0" w:color="000000"/>
              <w:start w:val="single" w:sz="6" w:space="0" w:color="000000"/>
              <w:bottom w:val="single" w:sz="6" w:space="0" w:color="000000"/>
              <w:end w:val="single" w:sz="6" w:space="0" w:color="000000"/>
            </w:tcBorders>
          </w:tcPr>
          <w:p>
            <w:pPr>
              <w:pStyle w:val="Corporate1A"/>
              <w:keepNext w:val="true"/>
              <w:keepLines/>
              <w:widowControl/>
              <w:tabs>
                <w:tab w:val="clear" w:pos="4680"/>
              </w:tabs>
              <w:spacing w:before="0" w:after="0"/>
              <w:rPr/>
            </w:pPr>
            <w:r>
              <w:rPr/>
              <w:t>50%</w:t>
            </w:r>
          </w:p>
        </w:tc>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pPr>
            <w:r>
              <w:rPr/>
              <w:t>50%</w:t>
            </w:r>
          </w:p>
        </w:tc>
      </w:tr>
      <w:tr>
        <w:trPr/>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pPr>
            <w:r>
              <w:rPr/>
              <w:t>16</w:t>
            </w:r>
          </w:p>
        </w:tc>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pPr>
            <w:r>
              <w:rPr/>
              <w:t>55%</w:t>
            </w:r>
          </w:p>
        </w:tc>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pPr>
            <w:r>
              <w:rPr/>
              <w:t>45%</w:t>
            </w:r>
          </w:p>
        </w:tc>
      </w:tr>
      <w:tr>
        <w:trPr/>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pPr>
            <w:r>
              <w:rPr/>
              <w:t>17</w:t>
            </w:r>
          </w:p>
        </w:tc>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pPr>
            <w:r>
              <w:rPr/>
              <w:t>60%</w:t>
            </w:r>
          </w:p>
        </w:tc>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pPr>
            <w:r>
              <w:rPr/>
              <w:t>40%</w:t>
            </w:r>
          </w:p>
        </w:tc>
      </w:tr>
      <w:tr>
        <w:trPr/>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pPr>
            <w:r>
              <w:rPr/>
              <w:t>18</w:t>
            </w:r>
          </w:p>
        </w:tc>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pPr>
            <w:r>
              <w:rPr/>
              <w:t>65%</w:t>
            </w:r>
          </w:p>
        </w:tc>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pPr>
            <w:r>
              <w:rPr/>
              <w:t>35%</w:t>
            </w:r>
          </w:p>
        </w:tc>
      </w:tr>
      <w:tr>
        <w:trPr/>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pPr>
            <w:r>
              <w:rPr/>
              <w:t>19</w:t>
            </w:r>
          </w:p>
        </w:tc>
        <w:tc>
          <w:tcPr>
            <w:tcW w:w="2010" w:type="dxa"/>
            <w:tcBorders>
              <w:top w:val="single" w:sz="6" w:space="0" w:color="000000"/>
              <w:start w:val="single" w:sz="6" w:space="0" w:color="000000"/>
              <w:bottom w:val="single" w:sz="6" w:space="0" w:color="000000"/>
              <w:end w:val="single" w:sz="6" w:space="0" w:color="000000"/>
            </w:tcBorders>
          </w:tcPr>
          <w:p>
            <w:pPr>
              <w:pStyle w:val="Corporate1A"/>
              <w:keepNext w:val="true"/>
              <w:keepLines/>
              <w:widowControl/>
              <w:tabs>
                <w:tab w:val="clear" w:pos="4680"/>
              </w:tabs>
              <w:spacing w:before="0" w:after="0"/>
              <w:rPr/>
            </w:pPr>
            <w:r>
              <w:rPr/>
              <w:t>70%</w:t>
            </w:r>
          </w:p>
        </w:tc>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pPr>
            <w:r>
              <w:rPr/>
              <w:t>30%</w:t>
            </w:r>
          </w:p>
        </w:tc>
      </w:tr>
      <w:tr>
        <w:trPr/>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pPr>
            <w:r>
              <w:rPr/>
              <w:t>20</w:t>
            </w:r>
          </w:p>
        </w:tc>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pPr>
            <w:r>
              <w:rPr/>
              <w:t>75%</w:t>
            </w:r>
          </w:p>
        </w:tc>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pPr>
            <w:r>
              <w:rPr/>
              <w:t>25%</w:t>
            </w:r>
          </w:p>
        </w:tc>
      </w:tr>
      <w:tr>
        <w:trPr/>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pPr>
            <w:r>
              <w:rPr/>
              <w:t>21 and</w:t>
              <w:br/>
              <w:t>thereafter</w:t>
            </w:r>
          </w:p>
        </w:tc>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pPr>
            <w:r>
              <w:rPr/>
              <w:t>80%</w:t>
            </w:r>
          </w:p>
        </w:tc>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pPr>
            <w:r>
              <w:rPr/>
              <w:t>20%</w:t>
            </w:r>
          </w:p>
        </w:tc>
      </w:tr>
    </w:tbl>
    <w:p>
      <w:pPr>
        <w:pStyle w:val="FootnoteText"/>
        <w:widowControl/>
        <w:rPr/>
      </w:pPr>
      <w:r>
        <w:rPr/>
      </w:r>
    </w:p>
    <w:tbl>
      <w:tblPr>
        <w:tblW w:w="9576" w:type="dxa"/>
        <w:jc w:val="start"/>
        <w:tblInd w:w="0" w:type="dxa"/>
        <w:tblLayout w:type="fixed"/>
        <w:tblCellMar>
          <w:top w:w="0" w:type="dxa"/>
          <w:start w:w="108" w:type="dxa"/>
          <w:bottom w:w="0" w:type="dxa"/>
          <w:end w:w="108" w:type="dxa"/>
        </w:tblCellMar>
      </w:tblPr>
      <w:tblGrid>
        <w:gridCol w:w="2088"/>
        <w:gridCol w:w="7488"/>
      </w:tblGrid>
      <w:tr>
        <w:trPr/>
        <w:tc>
          <w:tcPr>
            <w:tcW w:w="2088" w:type="dxa"/>
            <w:tcBorders/>
          </w:tcPr>
          <w:p>
            <w:pPr>
              <w:pStyle w:val="ParaDot"/>
              <w:widowControl/>
              <w:snapToGrid w:val="false"/>
              <w:spacing w:before="0" w:after="240"/>
              <w:jc w:val="start"/>
              <w:rPr/>
            </w:pPr>
            <w:r>
              <w:rPr/>
            </w:r>
          </w:p>
        </w:tc>
        <w:tc>
          <w:tcPr>
            <w:tcW w:w="7488" w:type="dxa"/>
            <w:tcBorders/>
          </w:tcPr>
          <w:p>
            <w:pPr>
              <w:pStyle w:val="Term"/>
              <w:widowControl/>
              <w:tabs>
                <w:tab w:val="clear" w:pos="720"/>
                <w:tab w:val="left" w:pos="432" w:leader="none"/>
              </w:tabs>
              <w:ind w:hanging="432" w:start="432" w:end="0"/>
              <w:rPr>
                <w:rFonts w:ascii="Courier" w:hAnsi="Courier" w:cs="Courier"/>
                <w:color w:val="000000"/>
                <w:sz w:val="20"/>
              </w:rPr>
            </w:pPr>
            <w:r>
              <w:rPr>
                <w:color w:val="000000"/>
              </w:rPr>
              <w:t>(c)</w:t>
            </w:r>
            <w:r>
              <w:rPr>
                <w:rFonts w:cs="Courier" w:ascii="Courier" w:hAnsi="Courier"/>
                <w:color w:val="000000"/>
                <w:sz w:val="20"/>
              </w:rPr>
              <w:tab/>
            </w:r>
            <w:r>
              <w:rPr>
                <w:u w:val="single"/>
              </w:rPr>
              <w:t>Definition of Sale</w:t>
            </w:r>
            <w:r>
              <w:rPr/>
              <w:t>.  As used herein, the term “Sale” shall mean a written, binding agreement (subject only to qualifications to be agreed in the Brokerage Agreement) between Highstar or NCPH and a third-party purchaser (</w:t>
            </w:r>
            <w:r>
              <w:rPr>
                <w:i/>
              </w:rPr>
              <w:t>i.e.</w:t>
            </w:r>
            <w:r>
              <w:rPr/>
              <w:t>, not an affiliate of either ENA or Highstar) reasonably acceptable to Highstar for the sale and purchase of (i) all of the equity interests in or assets of NCPH or (ii) all or substantially all of the Assets.</w:t>
            </w:r>
          </w:p>
          <w:p>
            <w:pPr>
              <w:pStyle w:val="Term"/>
              <w:widowControl/>
              <w:tabs>
                <w:tab w:val="clear" w:pos="720"/>
                <w:tab w:val="left" w:pos="432" w:leader="none"/>
              </w:tabs>
              <w:ind w:hanging="432" w:start="432" w:end="0"/>
              <w:rPr/>
            </w:pPr>
            <w:r>
              <w:rPr/>
              <w:t>(d)</w:t>
              <w:tab/>
            </w:r>
            <w:r>
              <w:rPr>
                <w:u w:val="single"/>
              </w:rPr>
              <w:t>Failure to Close</w:t>
            </w:r>
            <w:r>
              <w:rPr/>
              <w:t xml:space="preserve">.  If subsequent to the occurrence of a Sale, the transaction fails to proceed to closing for any reason that is not attributable to ENA, and a subsequent Sale occurs with the same or different third party which does proceed to closing, for purposes of calculating the percentage described in 8(b)(iii) above, the date of the first Sale shall be utilized. </w:t>
            </w:r>
          </w:p>
          <w:p>
            <w:pPr>
              <w:pStyle w:val="Term"/>
              <w:widowControl/>
              <w:ind w:hanging="0" w:start="432" w:end="0"/>
              <w:rPr/>
            </w:pPr>
            <w:r>
              <w:rPr/>
              <w:t>If the first Sale fails to proceed to closing for any reason that is attributable to ENA, and a subsequent Sale occurs with the same or different third party which does proceed to closing, for purposes of calculating the percentage described in 8(b)(iii) above, the date of the latter Sale shall be utilized.</w:t>
            </w:r>
          </w:p>
          <w:p>
            <w:pPr>
              <w:pStyle w:val="Term"/>
              <w:widowControl/>
              <w:ind w:hanging="0" w:start="432" w:end="0"/>
              <w:rPr/>
            </w:pPr>
            <w:r>
              <w:rPr/>
              <w:t>It is understood and agreed that in no event shall any fee or other payment be due to ENA under the Brokerage Agreement until the closing of a Sale and that ENA shall receive no compensation in respect of a Sale other than as provided herein.</w:t>
            </w:r>
          </w:p>
          <w:p>
            <w:pPr>
              <w:pStyle w:val="Term"/>
              <w:widowControl/>
              <w:tabs>
                <w:tab w:val="clear" w:pos="720"/>
                <w:tab w:val="left" w:pos="432" w:leader="none"/>
              </w:tabs>
              <w:ind w:hanging="432" w:start="432" w:end="0"/>
              <w:rPr>
                <w:b/>
                <w:u w:val="double"/>
              </w:rPr>
            </w:pPr>
            <w:r>
              <w:rPr/>
              <w:t>(e)</w:t>
              <w:tab/>
            </w:r>
            <w:r>
              <w:rPr>
                <w:u w:val="single"/>
              </w:rPr>
              <w:t>Termination of Exclusivity</w:t>
            </w:r>
            <w:r>
              <w:rPr/>
              <w:t>.  In the event that a Sale has not been effected by December 31, 2002, ENA’s exclusive right to act as a broker for the Sale shall terminate.  ENA will, except as provided in clause 9 below, still be entitled to Sale proceeds as calculated above.  Notwithstanding the foregoing, ENA’s exclusive right to act as broker for the Sale shall terminate upon the forfeit of any rights of ENA to share in the proceeds of the Sale.</w:t>
            </w:r>
          </w:p>
          <w:p>
            <w:pPr>
              <w:pStyle w:val="Term"/>
              <w:widowControl/>
              <w:tabs>
                <w:tab w:val="clear" w:pos="720"/>
                <w:tab w:val="left" w:pos="432" w:leader="none"/>
              </w:tabs>
              <w:spacing w:before="0" w:after="240"/>
              <w:ind w:hanging="432" w:start="432" w:end="0"/>
              <w:rPr/>
            </w:pPr>
            <w:r>
              <w:rPr/>
              <w:t>(f)</w:t>
              <w:tab/>
            </w:r>
            <w:r>
              <w:rPr>
                <w:u w:val="single"/>
              </w:rPr>
              <w:t>Governing Law and Arbitration</w:t>
            </w:r>
            <w:r>
              <w:rPr/>
              <w:t>.  The Brokerage Agreement shall be governed by New York law and shall contain provisions for resolution of disputes through management negotiation and, if necessary, arbitration in New York County, New York in accordance with the Commercial Arbitration Rules of the American Arbitration Association.</w:t>
            </w:r>
          </w:p>
        </w:tc>
      </w:tr>
      <w:tr>
        <w:trPr/>
        <w:tc>
          <w:tcPr>
            <w:tcW w:w="2088" w:type="dxa"/>
            <w:tcBorders/>
          </w:tcPr>
          <w:p>
            <w:pPr>
              <w:pStyle w:val="Term"/>
              <w:widowControl/>
              <w:tabs>
                <w:tab w:val="clear" w:pos="720"/>
                <w:tab w:val="left" w:pos="432" w:leader="none"/>
              </w:tabs>
              <w:spacing w:before="0" w:after="240"/>
              <w:ind w:hanging="432" w:start="432" w:end="0"/>
              <w:jc w:val="start"/>
              <w:rPr/>
            </w:pPr>
            <w:r>
              <w:rPr/>
              <w:t>9.</w:t>
              <w:tab/>
              <w:t xml:space="preserve">2002 Hedge or Offtake </w:t>
            </w:r>
            <w:r>
              <w:rPr>
                <w:u w:val="single"/>
              </w:rPr>
              <w:t>Offers</w:t>
            </w:r>
            <w:r>
              <w:rPr/>
              <w:t>:</w:t>
            </w:r>
          </w:p>
        </w:tc>
        <w:tc>
          <w:tcPr>
            <w:tcW w:w="7488" w:type="dxa"/>
            <w:tcBorders/>
          </w:tcPr>
          <w:p>
            <w:pPr>
              <w:pStyle w:val="Term"/>
              <w:widowControl/>
              <w:spacing w:before="0" w:after="240"/>
              <w:ind w:hanging="0" w:start="0" w:end="0"/>
              <w:rPr/>
            </w:pPr>
            <w:r>
              <w:rPr/>
              <w:t>If a Sale does not occur prior to November 1, 2001 for any reason other than  Highstar's breach of the Brokerage Agreement, ENA has the sole right, but not the obligation, to offer to Highstar a proposal to enter into either a financial hedge arrangement (the “Financial Hedge”) or a unit-contingent power off-take agreement (the “Off-Take Agreement”) as each is more specifically described below.  Upon exercise of ENA’s right, ENA and Highstar will exercise reasonable efforts to enter into the Financial Hedge or the Off-Take Agreement.</w:t>
            </w:r>
          </w:p>
        </w:tc>
      </w:tr>
      <w:tr>
        <w:trPr/>
        <w:tc>
          <w:tcPr>
            <w:tcW w:w="2088" w:type="dxa"/>
            <w:tcBorders/>
          </w:tcPr>
          <w:p>
            <w:pPr>
              <w:pStyle w:val="Term"/>
              <w:widowControl/>
              <w:snapToGrid w:val="false"/>
              <w:spacing w:before="0" w:after="240"/>
              <w:ind w:hanging="0" w:start="0" w:end="0"/>
              <w:rPr/>
            </w:pPr>
            <w:r>
              <w:rPr/>
            </w:r>
          </w:p>
        </w:tc>
        <w:tc>
          <w:tcPr>
            <w:tcW w:w="7488" w:type="dxa"/>
            <w:tcBorders/>
          </w:tcPr>
          <w:p>
            <w:pPr>
              <w:pStyle w:val="Term"/>
              <w:widowControl/>
              <w:numPr>
                <w:ilvl w:val="0"/>
                <w:numId w:val="3"/>
              </w:numPr>
              <w:rPr>
                <w:b/>
                <w:u w:val="double"/>
              </w:rPr>
            </w:pPr>
            <w:r>
              <w:rPr/>
              <w:t xml:space="preserve">Pursuant to the Financial Hedge, ENA will offer Highstar a “costless collar” whereby Highstar will simultaneously buy a put from ENA and sell a call to ENA based on monthly power prices. The term of the Financial Hedge will be from January 1, 2002 through December 31, 2002, but could be extended by mutual agreement for additional one (1) year periods; provided that any extension of the Financial Hedge Agreement will require the extension of the Asset Management Agreement under market rate terms. </w:t>
            </w:r>
          </w:p>
          <w:p>
            <w:pPr>
              <w:pStyle w:val="Term"/>
              <w:ind w:hanging="0" w:start="432" w:end="0"/>
              <w:rPr/>
            </w:pPr>
            <w:r>
              <w:rPr/>
              <w:t>For any costless collar, the strike price on the put will be such that sufficient revenue occurs under a low power price scenario to: (i) meet minimum debt service coverage requirements, should Highstar obtain debt financing for the Transaction, and (ii) provide an unlevered return to Highstar, after all expenses (based on baseline terms to be agreed) and debt service of 15% per annum.</w:t>
            </w:r>
          </w:p>
          <w:p>
            <w:pPr>
              <w:pStyle w:val="Term"/>
              <w:widowControl/>
              <w:tabs>
                <w:tab w:val="clear" w:pos="720"/>
                <w:tab w:val="left" w:pos="432" w:leader="none"/>
              </w:tabs>
              <w:spacing w:before="0" w:after="240"/>
              <w:ind w:hanging="0" w:start="0" w:end="0"/>
              <w:rPr/>
            </w:pPr>
            <w:r>
              <w:rPr/>
            </w:r>
          </w:p>
        </w:tc>
      </w:tr>
      <w:tr>
        <w:trPr/>
        <w:tc>
          <w:tcPr>
            <w:tcW w:w="2088" w:type="dxa"/>
            <w:tcBorders/>
          </w:tcPr>
          <w:p>
            <w:pPr>
              <w:pStyle w:val="Term"/>
              <w:widowControl/>
              <w:snapToGrid w:val="false"/>
              <w:spacing w:before="0" w:after="240"/>
              <w:ind w:hanging="0" w:start="0" w:end="0"/>
              <w:rPr>
                <w:u w:val="single"/>
              </w:rPr>
            </w:pPr>
            <w:r>
              <w:rPr>
                <w:u w:val="single"/>
              </w:rPr>
            </w:r>
          </w:p>
        </w:tc>
        <w:tc>
          <w:tcPr>
            <w:tcW w:w="7488" w:type="dxa"/>
            <w:tcBorders/>
          </w:tcPr>
          <w:p>
            <w:pPr>
              <w:pStyle w:val="Term"/>
              <w:widowControl/>
              <w:tabs>
                <w:tab w:val="clear" w:pos="720"/>
                <w:tab w:val="left" w:pos="432" w:leader="none"/>
              </w:tabs>
              <w:spacing w:before="0" w:after="240"/>
              <w:ind w:hanging="432" w:start="432" w:end="0"/>
              <w:rPr/>
            </w:pPr>
            <w:r>
              <w:rPr/>
              <w:t>(b)</w:t>
              <w:tab/>
              <w:t>Pursuant to the Off-Take Agreement, ENA will offer to Highstar a unit-contingent power purchase agreement for the capacity and energy from the Assets on terms which will ensure sufficient revenue to NCPH to: (i) meet minimum debt service coverage requirements, should Highstar obtain debt financing for the Transaction, and (ii) provide an unlevered return to Highstar, after all expenses (based on baseline terms to be agreed) and debt service of 15% per annum.  The term of the Off-Take Agreement will run from January 1, 2002 to, but not including, January 1, 2012 (such later date being the “Off-Take Maturity Date”).</w:t>
            </w:r>
          </w:p>
        </w:tc>
      </w:tr>
      <w:tr>
        <w:trPr/>
        <w:tc>
          <w:tcPr>
            <w:tcW w:w="2088" w:type="dxa"/>
            <w:tcBorders/>
          </w:tcPr>
          <w:p>
            <w:pPr>
              <w:pStyle w:val="Term"/>
              <w:widowControl/>
              <w:snapToGrid w:val="false"/>
              <w:spacing w:before="0" w:after="240"/>
              <w:ind w:hanging="0" w:start="0" w:end="0"/>
              <w:rPr>
                <w:u w:val="single"/>
              </w:rPr>
            </w:pPr>
            <w:r>
              <w:rPr>
                <w:u w:val="single"/>
              </w:rPr>
            </w:r>
          </w:p>
        </w:tc>
        <w:tc>
          <w:tcPr>
            <w:tcW w:w="7488" w:type="dxa"/>
            <w:tcBorders/>
          </w:tcPr>
          <w:p>
            <w:pPr>
              <w:pStyle w:val="Term"/>
              <w:widowControl/>
              <w:spacing w:before="0" w:after="240"/>
              <w:ind w:hanging="0" w:start="0" w:end="0"/>
              <w:rPr/>
            </w:pPr>
            <w:r>
              <w:rPr/>
              <w:t>If ENA does not offer to Highstar either the Financial Hedge or the Off-Take Agreement as aforesaid, ENA will forfeit any rights to proceeds from a Sale.</w:t>
            </w:r>
          </w:p>
        </w:tc>
      </w:tr>
      <w:tr>
        <w:trPr/>
        <w:tc>
          <w:tcPr>
            <w:tcW w:w="2088" w:type="dxa"/>
            <w:tcBorders/>
          </w:tcPr>
          <w:p>
            <w:pPr>
              <w:pStyle w:val="Term"/>
              <w:widowControl/>
              <w:snapToGrid w:val="false"/>
              <w:spacing w:before="0" w:after="240"/>
              <w:ind w:hanging="0" w:start="0" w:end="0"/>
              <w:rPr>
                <w:u w:val="single"/>
              </w:rPr>
            </w:pPr>
            <w:r>
              <w:rPr>
                <w:u w:val="single"/>
              </w:rPr>
            </w:r>
          </w:p>
        </w:tc>
        <w:tc>
          <w:tcPr>
            <w:tcW w:w="7488" w:type="dxa"/>
            <w:tcBorders/>
          </w:tcPr>
          <w:p>
            <w:pPr>
              <w:pStyle w:val="Term"/>
              <w:widowControl/>
              <w:spacing w:before="0" w:after="240"/>
              <w:ind w:hanging="0" w:start="0" w:end="0"/>
              <w:rPr/>
            </w:pPr>
            <w:r>
              <w:rPr/>
              <w:t>Highstar, in its sole discretion, will have the option to accept or reject the Financial Hedge or the Off-Take Agreement, with ENA having no further right or obligation to offer further Financial Hedges or Off-Take Agreements following Highstar’s rejection of same, with the exception that, upon a Termination of Exclusivity event under the terms of the Brokerage Agreement, ENA has (if no Off-Take Agreement is then in place) the right to offer to Highstar a second Off-Take Agreement under the terms described above and terminating on the Off-Take Maturity Date.  If ENA does not offer to Highstar a second Off-Take Agreement (and an existing Off-Take Agreement is not in place), ENA will forfeit any rights to proceeds from a Sale.</w:t>
            </w:r>
          </w:p>
        </w:tc>
      </w:tr>
      <w:tr>
        <w:trPr/>
        <w:tc>
          <w:tcPr>
            <w:tcW w:w="2088" w:type="dxa"/>
            <w:tcBorders/>
          </w:tcPr>
          <w:p>
            <w:pPr>
              <w:pStyle w:val="Term"/>
              <w:widowControl/>
              <w:tabs>
                <w:tab w:val="clear" w:pos="720"/>
                <w:tab w:val="left" w:pos="432" w:leader="none"/>
              </w:tabs>
              <w:spacing w:before="0" w:after="240"/>
              <w:ind w:hanging="432" w:start="432" w:end="0"/>
              <w:jc w:val="start"/>
              <w:rPr/>
            </w:pPr>
            <w:r>
              <w:rPr/>
              <w:t>10.</w:t>
              <w:tab/>
              <w:t xml:space="preserve">Credit Supports/ Determination and </w:t>
            </w:r>
            <w:r>
              <w:rPr>
                <w:u w:val="single"/>
              </w:rPr>
              <w:t>Substitution</w:t>
            </w:r>
            <w:r>
              <w:rPr/>
              <w:t>:</w:t>
            </w:r>
          </w:p>
        </w:tc>
        <w:tc>
          <w:tcPr>
            <w:tcW w:w="7488" w:type="dxa"/>
            <w:tcBorders/>
          </w:tcPr>
          <w:p>
            <w:pPr>
              <w:pStyle w:val="Term"/>
              <w:widowControl/>
              <w:spacing w:before="0" w:after="240"/>
              <w:ind w:hanging="0" w:start="0" w:end="0"/>
              <w:rPr/>
            </w:pPr>
            <w:r>
              <w:rPr/>
              <w:t>To the extent that an affiliate of ENA has provided credit support with respect to a Facility Contract transaction, Highstar will on the Financial Closing Date provide a substitute credit support satisfactory to the counterparty to the applicable Facility Contract. Further, the parties shall, as a condition to closing the Transactions, also agree upon applicable credit support and/or enhancement to back up the obligations that comprise the Transactions.</w:t>
            </w:r>
          </w:p>
        </w:tc>
      </w:tr>
    </w:tbl>
    <w:p>
      <w:pPr>
        <w:pStyle w:val="Term"/>
        <w:widowControl/>
        <w:ind w:hanging="0" w:start="0" w:end="0"/>
        <w:rPr/>
      </w:pPr>
      <w:r>
        <w:rPr/>
      </w:r>
      <w:r>
        <w:br w:type="page"/>
      </w:r>
    </w:p>
    <w:p>
      <w:pPr>
        <w:pStyle w:val="Heading2"/>
        <w:ind w:hanging="0" w:start="0"/>
        <w:rPr/>
      </w:pPr>
      <w:r>
        <w:rPr/>
        <w:t>Exhibit A</w:t>
      </w:r>
    </w:p>
    <w:p>
      <w:pPr>
        <w:pStyle w:val="Normal"/>
        <w:jc w:val="center"/>
        <w:rPr>
          <w:u w:val="single"/>
        </w:rPr>
      </w:pPr>
      <w:r>
        <w:rPr>
          <w:u w:val="single"/>
        </w:rPr>
        <w:t>To</w:t>
      </w:r>
    </w:p>
    <w:p>
      <w:pPr>
        <w:pStyle w:val="Heading1"/>
        <w:ind w:hanging="0" w:start="0"/>
        <w:jc w:val="center"/>
        <w:rPr/>
      </w:pPr>
      <w:r>
        <w:rPr/>
        <w:t>Term Sheet</w:t>
      </w:r>
    </w:p>
    <w:p>
      <w:pPr>
        <w:pStyle w:val="Normal"/>
        <w:jc w:val="center"/>
        <w:rPr/>
      </w:pPr>
      <w:r>
        <w:rPr/>
      </w:r>
    </w:p>
    <w:p>
      <w:pPr>
        <w:pStyle w:val="Normal"/>
        <w:jc w:val="center"/>
        <w:rPr/>
      </w:pPr>
      <w:r>
        <w:rPr/>
        <w:t>Facility Contracts</w:t>
      </w:r>
    </w:p>
    <w:p>
      <w:pPr>
        <w:pStyle w:val="Normal"/>
        <w:jc w:val="center"/>
        <w:rPr/>
      </w:pPr>
      <w:r>
        <w:rPr/>
      </w:r>
    </w:p>
    <w:p>
      <w:pPr>
        <w:pStyle w:val="Normal"/>
        <w:rPr/>
      </w:pPr>
      <w:r>
        <w:rPr>
          <w:u w:val="single"/>
        </w:rPr>
        <w:t>Elizabethtown Facility</w:t>
      </w:r>
      <w:r>
        <w:rPr/>
        <w:t>:</w:t>
      </w:r>
    </w:p>
    <w:p>
      <w:pPr>
        <w:pStyle w:val="Normal"/>
        <w:rPr/>
      </w:pPr>
      <w:r>
        <w:rPr/>
      </w:r>
    </w:p>
    <w:p>
      <w:pPr>
        <w:pStyle w:val="Normal"/>
        <w:numPr>
          <w:ilvl w:val="0"/>
          <w:numId w:val="2"/>
        </w:numPr>
        <w:tabs>
          <w:tab w:val="clear" w:pos="720"/>
          <w:tab w:val="left" w:pos="360" w:leader="none"/>
        </w:tabs>
        <w:rPr/>
      </w:pPr>
      <w:r>
        <w:rPr/>
        <w:t>Steam Purchase Agreement dated January 31, 2001 by and between Elizabethtown Power, LLC and Alamac Knit Fabrics, Inc.</w:t>
      </w:r>
    </w:p>
    <w:p>
      <w:pPr>
        <w:pStyle w:val="Normal"/>
        <w:numPr>
          <w:ilvl w:val="0"/>
          <w:numId w:val="2"/>
        </w:numPr>
        <w:tabs>
          <w:tab w:val="clear" w:pos="720"/>
          <w:tab w:val="left" w:pos="360" w:leader="none"/>
        </w:tabs>
        <w:rPr/>
      </w:pPr>
      <w:r>
        <w:rPr/>
        <w:t>Ground Lease and Easement Agreement dated January 31, 2001 by and between Alamac Knit Fabrics, Inc. and Elizabethtown Power, LLC</w:t>
      </w:r>
    </w:p>
    <w:p>
      <w:pPr>
        <w:pStyle w:val="Normal"/>
        <w:numPr>
          <w:ilvl w:val="0"/>
          <w:numId w:val="2"/>
        </w:numPr>
        <w:tabs>
          <w:tab w:val="clear" w:pos="720"/>
          <w:tab w:val="left" w:pos="360" w:leader="none"/>
        </w:tabs>
        <w:rPr/>
      </w:pPr>
      <w:r>
        <w:rPr/>
        <w:t>Operation and Maintenance Agreement dated January 31, 2001 between G.L.C. Consulting Service Incorporation and Elizabethtown Power, LLC</w:t>
      </w:r>
    </w:p>
    <w:p>
      <w:pPr>
        <w:pStyle w:val="Normal"/>
        <w:numPr>
          <w:ilvl w:val="0"/>
          <w:numId w:val="2"/>
        </w:numPr>
        <w:tabs>
          <w:tab w:val="clear" w:pos="720"/>
          <w:tab w:val="left" w:pos="360" w:leader="none"/>
        </w:tabs>
        <w:rPr/>
      </w:pPr>
      <w:r>
        <w:rPr/>
        <w:t>Agreement for Ash Removal Services between Cogentrix Eastern Carolina Corporation and ReUse Technology, Inc. dated as of December 16, 1991, for the facility in Elizabethtown, North Carolina, as amended by First Amendment to Agreement for Ash Removal Services dated May 19, 1993, as assigned by Cogentrix Eastern Carolina, LLC to Elizabethtown Power, LLC effective as of January 31, 2001.</w:t>
      </w:r>
    </w:p>
    <w:p>
      <w:pPr>
        <w:pStyle w:val="Normal"/>
        <w:numPr>
          <w:ilvl w:val="0"/>
          <w:numId w:val="2"/>
        </w:numPr>
        <w:tabs>
          <w:tab w:val="clear" w:pos="720"/>
          <w:tab w:val="left" w:pos="360" w:leader="none"/>
        </w:tabs>
        <w:rPr/>
      </w:pPr>
      <w:r>
        <w:rPr/>
        <w:t>Coal Handling Agreement between Cogentrix Eastern Carolina Corporation and ReUse Technology, Inc. dated as of May 19, 1993, for the facility in Elizabethtown, North Carolina, as assigned by Cogentrix Eastern Carolina, LLC to Elizabethtown Power, LLC effective as of January 31, 2001.</w:t>
      </w:r>
    </w:p>
    <w:p>
      <w:pPr>
        <w:pStyle w:val="Normal"/>
        <w:numPr>
          <w:ilvl w:val="0"/>
          <w:numId w:val="2"/>
        </w:numPr>
        <w:tabs>
          <w:tab w:val="clear" w:pos="720"/>
          <w:tab w:val="left" w:pos="360" w:leader="none"/>
        </w:tabs>
        <w:rPr/>
      </w:pPr>
      <w:r>
        <w:rPr/>
        <w:t>Coal Purchase Agreement dated March 19, 2001 between North Carolina Power Holdings, LLC and Enron North America Corp.</w:t>
      </w:r>
    </w:p>
    <w:p>
      <w:pPr>
        <w:pStyle w:val="Normal"/>
        <w:numPr>
          <w:ilvl w:val="0"/>
          <w:numId w:val="2"/>
        </w:numPr>
        <w:tabs>
          <w:tab w:val="clear" w:pos="720"/>
          <w:tab w:val="left" w:pos="360" w:leader="none"/>
        </w:tabs>
        <w:rPr/>
      </w:pPr>
      <w:r>
        <w:rPr/>
        <w:t>Facility Interconnection and Operating Agreement dated _________, 2001 between Carolina Power &amp; Light Company and Elizabethtown Power, LLC.</w:t>
      </w:r>
    </w:p>
    <w:p>
      <w:pPr>
        <w:pStyle w:val="Normal"/>
        <w:jc w:val="center"/>
        <w:rPr/>
      </w:pPr>
      <w:r>
        <w:rPr/>
      </w:r>
    </w:p>
    <w:p>
      <w:pPr>
        <w:pStyle w:val="Normal"/>
        <w:rPr/>
      </w:pPr>
      <w:r>
        <w:rPr>
          <w:u w:val="single"/>
        </w:rPr>
        <w:t>Lumberton Facility</w:t>
      </w:r>
      <w:r>
        <w:rPr/>
        <w:t>:</w:t>
      </w:r>
    </w:p>
    <w:p>
      <w:pPr>
        <w:pStyle w:val="Normal"/>
        <w:jc w:val="center"/>
        <w:rPr/>
      </w:pPr>
      <w:r>
        <w:rPr/>
      </w:r>
    </w:p>
    <w:p>
      <w:pPr>
        <w:pStyle w:val="Normal"/>
        <w:numPr>
          <w:ilvl w:val="0"/>
          <w:numId w:val="4"/>
        </w:numPr>
        <w:tabs>
          <w:tab w:val="clear" w:pos="720"/>
          <w:tab w:val="left" w:pos="360" w:leader="none"/>
        </w:tabs>
        <w:rPr/>
      </w:pPr>
      <w:r>
        <w:rPr/>
        <w:t>Steam Purchase Agreement dated January 31, 2001 by and between Lumberton Power, LLC and Alamac Knit Fabrics, Inc.</w:t>
      </w:r>
    </w:p>
    <w:p>
      <w:pPr>
        <w:pStyle w:val="Normal"/>
        <w:numPr>
          <w:ilvl w:val="0"/>
          <w:numId w:val="4"/>
        </w:numPr>
        <w:tabs>
          <w:tab w:val="clear" w:pos="720"/>
          <w:tab w:val="left" w:pos="360" w:leader="none"/>
        </w:tabs>
        <w:rPr/>
      </w:pPr>
      <w:r>
        <w:rPr/>
        <w:t>Ground Lease and Easement Agreement dated January 31, 2001 by and between Alamac Knit Fabrics, Inc. and Lumberton Power, LLC.</w:t>
      </w:r>
    </w:p>
    <w:p>
      <w:pPr>
        <w:pStyle w:val="Normal"/>
        <w:numPr>
          <w:ilvl w:val="0"/>
          <w:numId w:val="4"/>
        </w:numPr>
        <w:tabs>
          <w:tab w:val="clear" w:pos="720"/>
          <w:tab w:val="left" w:pos="360" w:leader="none"/>
        </w:tabs>
        <w:rPr/>
      </w:pPr>
      <w:r>
        <w:rPr/>
        <w:t>Operation and Maintenance Agreement dated January 31, 2001 between G.L.C. Consulting Service Incorporated and Lumberton Power, LLC.</w:t>
      </w:r>
    </w:p>
    <w:p>
      <w:pPr>
        <w:pStyle w:val="Normal"/>
        <w:numPr>
          <w:ilvl w:val="0"/>
          <w:numId w:val="4"/>
        </w:numPr>
        <w:tabs>
          <w:tab w:val="clear" w:pos="720"/>
          <w:tab w:val="left" w:pos="360" w:leader="none"/>
        </w:tabs>
        <w:rPr/>
      </w:pPr>
      <w:r>
        <w:rPr/>
        <w:t>Agreement for Ash Removal Services between Cogentrix Eastern Carolina Corporation and ReUse Technology, Inc. dated as of December 16, 1991, as amended by First Amendment to Agreement for Ash Removal Services dated May 19, 1993, and as assigned by Cogentrix Eastern Carolina, LLC to Lumberton Power, LLC effective as of January 31, 2001.</w:t>
      </w:r>
    </w:p>
    <w:p>
      <w:pPr>
        <w:pStyle w:val="Normal"/>
        <w:numPr>
          <w:ilvl w:val="0"/>
          <w:numId w:val="4"/>
        </w:numPr>
        <w:tabs>
          <w:tab w:val="clear" w:pos="720"/>
          <w:tab w:val="left" w:pos="360" w:leader="none"/>
        </w:tabs>
        <w:rPr/>
      </w:pPr>
      <w:r>
        <w:rPr/>
        <w:t>Coal Handling Agreement between Cogentrix Eastern Carolina Corporation and ReUse Technology, Inc. dated as of May 19, 1993, for the facility in Lumberton, North Carolina, as assigned by Cogentrix Eastern Carolina, LLC to Lumberton Power, LLC effective as of January 31, 2001.</w:t>
      </w:r>
    </w:p>
    <w:p>
      <w:pPr>
        <w:pStyle w:val="Normal"/>
        <w:numPr>
          <w:ilvl w:val="0"/>
          <w:numId w:val="4"/>
        </w:numPr>
        <w:tabs>
          <w:tab w:val="clear" w:pos="720"/>
          <w:tab w:val="left" w:pos="360" w:leader="none"/>
        </w:tabs>
        <w:rPr/>
      </w:pPr>
      <w:r>
        <w:rPr/>
        <w:t xml:space="preserve">Agreement (SBD 10257; RE-83767) dated as of June 18, 1986 by and between Cumberland Elkhorn Coal and Coke, Inc. and Seaboard System Railroad, Inc., as amended and assigned by First Amendment to Agreement dated May 19, 1993 between CSX Transportation, Inc. and Cogentrix Eastern Carolina Corporation, and as assigned by Cogentrix Eastern Carolina, LLC to Lumberton Power, LLC on January 31, 2001. </w:t>
      </w:r>
    </w:p>
    <w:p>
      <w:pPr>
        <w:pStyle w:val="Normal"/>
        <w:numPr>
          <w:ilvl w:val="0"/>
          <w:numId w:val="4"/>
        </w:numPr>
        <w:tabs>
          <w:tab w:val="clear" w:pos="720"/>
          <w:tab w:val="left" w:pos="360" w:leader="none"/>
        </w:tabs>
        <w:rPr/>
      </w:pPr>
      <w:r>
        <w:rPr/>
        <w:t>Coal Purchase Agreement dated March 19, 2001 between North Carolina Power Holdings, LLC and Enron North America Corp.</w:t>
      </w:r>
    </w:p>
    <w:p>
      <w:pPr>
        <w:pStyle w:val="Normal"/>
        <w:numPr>
          <w:ilvl w:val="0"/>
          <w:numId w:val="4"/>
        </w:numPr>
        <w:tabs>
          <w:tab w:val="clear" w:pos="720"/>
          <w:tab w:val="left" w:pos="360" w:leader="none"/>
        </w:tabs>
        <w:rPr/>
      </w:pPr>
      <w:r>
        <w:rPr/>
        <w:t>Facility Interconnection and Operating Agreement dated ________, 2001 between Carolina Power &amp; Light Company and Lumberton Power, LLC.</w:t>
      </w:r>
    </w:p>
    <w:p>
      <w:pPr>
        <w:pStyle w:val="Normal"/>
        <w:widowControl/>
        <w:tabs>
          <w:tab w:val="clear" w:pos="720"/>
          <w:tab w:val="left" w:pos="360" w:leader="none"/>
        </w:tabs>
        <w:rPr/>
      </w:pPr>
      <w:r>
        <w:rPr/>
      </w:r>
      <w:r>
        <w:br w:type="page"/>
      </w:r>
    </w:p>
    <w:p>
      <w:pPr>
        <w:pStyle w:val="Normal"/>
        <w:widowControl/>
        <w:jc w:val="center"/>
        <w:rPr>
          <w:u w:val="single"/>
        </w:rPr>
      </w:pPr>
      <w:r>
        <w:rPr>
          <w:u w:val="single"/>
        </w:rPr>
        <w:t>Exhibit B</w:t>
      </w:r>
    </w:p>
    <w:p>
      <w:pPr>
        <w:pStyle w:val="Heading2"/>
        <w:widowControl/>
        <w:ind w:hanging="0" w:start="0"/>
        <w:rPr/>
      </w:pPr>
      <w:r>
        <w:rPr/>
        <w:t xml:space="preserve">To </w:t>
      </w:r>
    </w:p>
    <w:p>
      <w:pPr>
        <w:pStyle w:val="Normal"/>
        <w:widowControl/>
        <w:jc w:val="center"/>
        <w:rPr>
          <w:u w:val="single"/>
        </w:rPr>
      </w:pPr>
      <w:r>
        <w:rPr>
          <w:u w:val="single"/>
        </w:rPr>
        <w:t>Term Sheet</w:t>
      </w:r>
    </w:p>
    <w:p>
      <w:pPr>
        <w:pStyle w:val="Normal"/>
        <w:widowControl/>
        <w:jc w:val="center"/>
        <w:rPr>
          <w:u w:val="single"/>
        </w:rPr>
      </w:pPr>
      <w:r>
        <w:rPr>
          <w:u w:val="single"/>
        </w:rPr>
      </w:r>
    </w:p>
    <w:p>
      <w:pPr>
        <w:pStyle w:val="Corporate1A"/>
        <w:widowControl/>
        <w:tabs>
          <w:tab w:val="clear" w:pos="4680"/>
        </w:tabs>
        <w:spacing w:before="0" w:after="0"/>
        <w:rPr/>
      </w:pPr>
      <w:r>
        <w:rPr/>
        <w:t>Call Option Agreement</w:t>
      </w:r>
    </w:p>
    <w:p>
      <w:pPr>
        <w:pStyle w:val="Normal"/>
        <w:widowControl/>
        <w:jc w:val="center"/>
        <w:rPr/>
      </w:pPr>
      <w:r>
        <w:rPr/>
        <w:t>(</w:t>
      </w:r>
      <w:r>
        <w:rPr>
          <w:i/>
        </w:rPr>
        <w:t>See attached</w:t>
      </w:r>
      <w:r>
        <w:rPr/>
        <w:t>)</w:t>
      </w:r>
    </w:p>
    <w:p>
      <w:pPr>
        <w:pStyle w:val="Term"/>
        <w:widowControl/>
        <w:spacing w:before="0" w:after="240"/>
        <w:ind w:hanging="0" w:start="0" w:end="0"/>
        <w:rPr/>
      </w:pPr>
      <w:r>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charset w:val="00" w:characterSet="windows-1252"/>
    <w:family w:val="roman"/>
    <w:pitch w:val="default"/>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t>HOUSTON\1272547.1</w:t>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1530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widowControl/>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11</w:t>
                          </w:r>
                          <w:r>
                            <w:rPr>
                              <w:rStyle w:val="PageNumber"/>
                              <w:sz w:val="24"/>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widowControl/>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11</w:t>
                    </w:r>
                    <w:r>
                      <w:rPr>
                        <w:rStyle w:val="PageNumber"/>
                        <w:sz w:val="24"/>
                      </w:rPr>
                      <w:fldChar w:fldCharType="end"/>
                    </w:r>
                  </w:p>
                </w:txbxContent>
              </v:textbox>
              <w10:wrap type="square"/>
            </v:rect>
          </w:pict>
        </mc:Fallback>
      </mc:AlternateContent>
    </w:r>
  </w:p>
  <w:p>
    <w:pPr>
      <w:pStyle w:val="Footer"/>
      <w:widowControl/>
      <w:spacing w:lineRule="exact" w:line="200"/>
      <w:jc w:val="start"/>
      <w:rPr/>
    </w:pPr>
    <w:r>
      <w:rPr>
        <w:rStyle w:val="zzmpTrailerItem"/>
      </w:rPr>
      <w:t>NY1:#3285496v3</w:t>
    </w:r>
    <w:r>
      <w:rPr/>
      <w:t xml:space="preserve"> </w:t>
    </w:r>
  </w:p>
  <w:p>
    <w:pPr>
      <w:pStyle w:val="Footer"/>
      <w:widowControl/>
      <w:spacing w:lineRule="exact" w:line="200"/>
      <w:jc w:val="start"/>
      <w:rPr/>
    </w:pPr>
    <w:r>
      <w:rPr>
        <w:rStyle w:val="zzmpTrailerItem"/>
      </w:rPr>
      <w:fldChar w:fldCharType="begin"/>
    </w:r>
    <w:r>
      <w:rPr>
        <w:rStyle w:val="zzmpTrailerItem"/>
      </w:rPr>
      <w:instrText xml:space="preserve"> DATE \@"MM\/d\/yy" </w:instrText>
    </w:r>
    <w:r>
      <w:rPr>
        <w:rStyle w:val="zzmpTrailerItem"/>
      </w:rPr>
      <w:fldChar w:fldCharType="separate"/>
    </w:r>
    <w:r>
      <w:rPr>
        <w:rStyle w:val="zzmpTrailerItem"/>
      </w:rPr>
      <w:t>09/28/25</w:t>
    </w:r>
    <w:r>
      <w:rPr>
        <w:rStyle w:val="zzmpTrailerItem"/>
      </w:rPr>
      <w:fldChar w:fldCharType="end"/>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t>HOUSTON\1272547.1</w:t>
    </w:r>
  </w:p>
  <w:p>
    <w:pPr>
      <w:pStyle w:val="Footer"/>
      <w:widowControl/>
      <w:spacing w:lineRule="exact" w:line="200"/>
      <w:jc w:val="start"/>
      <w:rPr/>
    </w:pPr>
    <w:r>
      <w:rPr>
        <w:rStyle w:val="zzmpTrailerItem"/>
      </w:rPr>
      <w:t>NY1:#3285496v3</w:t>
    </w:r>
    <w:r>
      <w:rPr/>
      <w:t xml:space="preserve"> </w:t>
    </w:r>
  </w:p>
  <w:p>
    <w:pPr>
      <w:pStyle w:val="Footer"/>
      <w:widowControl/>
      <w:spacing w:lineRule="exact" w:line="200"/>
      <w:jc w:val="start"/>
      <w:rPr/>
    </w:pPr>
    <w:r>
      <w:rPr>
        <w:rStyle w:val="zzmpTrailerItem"/>
      </w:rPr>
      <w:fldChar w:fldCharType="begin"/>
    </w:r>
    <w:r>
      <w:rPr>
        <w:rStyle w:val="zzmpTrailerItem"/>
      </w:rPr>
      <w:instrText xml:space="preserve"> DATE \@"MM\/d\/yy" </w:instrText>
    </w:r>
    <w:r>
      <w:rPr>
        <w:rStyle w:val="zzmpTrailerItem"/>
      </w:rPr>
      <w:fldChar w:fldCharType="separate"/>
    </w:r>
    <w:r>
      <w:rPr>
        <w:rStyle w:val="zzmpTrailerItem"/>
      </w:rPr>
      <w:t>09/28/25</w:t>
    </w:r>
    <w:r>
      <w:rPr>
        <w:rStyle w:val="zzmpTrailerItem"/>
      </w:rPr>
      <w:fldChar w:fldCharType="end"/>
    </w:r>
    <w:r>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lowerLetter"/>
      <w:lvlText w:val="(%1)"/>
      <w:lvlJc w:val="start"/>
      <w:pPr>
        <w:tabs>
          <w:tab w:val="num" w:pos="432"/>
        </w:tabs>
        <w:ind w:start="432" w:hanging="432"/>
      </w:pPr>
      <w:rPr>
        <w:u w:val="none"/>
        <w:b w:val="false"/>
      </w:rPr>
    </w:lvl>
  </w:abstractNum>
  <w:abstractNum w:abstractNumId="4">
    <w:lvl w:ilvl="0">
      <w:start w:val="1"/>
      <w:numFmt w:val="decimal"/>
      <w:lvlText w:val="%1."/>
      <w:lvlJc w:val="start"/>
      <w:pPr>
        <w:tabs>
          <w:tab w:val="num" w:pos="360"/>
        </w:tabs>
        <w:ind w:start="360" w:hanging="360"/>
      </w:pPr>
    </w:lvl>
  </w:abstractNum>
  <w:abstractNum w:abstractNumId="5">
    <w:lvl w:ilvl="0">
      <w:start w:val="2"/>
      <w:numFmt w:val="lowerRoman"/>
      <w:lvlText w:val="(%1)"/>
      <w:lvlJc w:val="start"/>
      <w:pPr>
        <w:tabs>
          <w:tab w:val="num" w:pos="1602"/>
        </w:tabs>
        <w:ind w:start="1602" w:hanging="10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zzmpFixedDOC_ID" w:val="H:\Docs\Term Sheet.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start"/>
      <w:outlineLvl w:val="0"/>
    </w:pPr>
    <w:rPr>
      <w:u w:val="single"/>
    </w:rPr>
  </w:style>
  <w:style w:type="paragraph" w:styleId="Heading2">
    <w:name w:val="heading 2"/>
    <w:basedOn w:val="Normal"/>
    <w:next w:val="Normal"/>
    <w:qFormat/>
    <w:pPr>
      <w:keepNext w:val="true"/>
      <w:numPr>
        <w:ilvl w:val="1"/>
        <w:numId w:val="1"/>
      </w:numPr>
      <w:jc w:val="center"/>
      <w:outlineLvl w:val="1"/>
    </w:pPr>
    <w:rPr>
      <w:u w:val="single"/>
    </w:rPr>
  </w:style>
  <w:style w:type="paragraph" w:styleId="Heading4">
    <w:name w:val="heading 4"/>
    <w:basedOn w:val="Normal"/>
    <w:next w:val="Normal"/>
    <w:qFormat/>
    <w:pPr>
      <w:keepNext w:val="true"/>
      <w:numPr>
        <w:ilvl w:val="3"/>
        <w:numId w:val="1"/>
      </w:numPr>
      <w:tabs>
        <w:tab w:val="clear" w:pos="720"/>
        <w:tab w:val="left" w:pos="2520" w:leader="none"/>
      </w:tabs>
      <w:spacing w:before="240" w:after="60"/>
      <w:ind w:firstLine="720" w:start="1440" w:end="0"/>
      <w:outlineLvl w:val="3"/>
    </w:pPr>
    <w:rPr>
      <w:rFonts w:ascii="Arial" w:hAnsi="Arial" w:cs="Arial"/>
      <w:b/>
    </w:rPr>
  </w:style>
  <w:style w:type="character" w:styleId="WW8Num3z0">
    <w:name w:val="WW8Num3z0"/>
    <w:qFormat/>
    <w:rPr>
      <w:b w:val="false"/>
      <w:u w:val="none"/>
    </w:rPr>
  </w:style>
  <w:style w:type="character" w:styleId="WW8Num4z0">
    <w:name w:val="WW8Num4z0"/>
    <w:qFormat/>
    <w:rPr/>
  </w:style>
  <w:style w:type="character" w:styleId="WW8Num6z0">
    <w:name w:val="WW8Num6z0"/>
    <w:qFormat/>
    <w:rPr/>
  </w:style>
  <w:style w:type="character" w:styleId="DefaultParagraphFont">
    <w:name w:val="Default Paragraph Font"/>
    <w:qFormat/>
    <w:rPr/>
  </w:style>
  <w:style w:type="character" w:styleId="Corporate2A">
    <w:name w:val="Corporate2A"/>
    <w:basedOn w:val="DefaultParagraphFont"/>
    <w:qFormat/>
    <w:rPr>
      <w:sz w:val="20"/>
      <w:u w:val="single"/>
    </w:rPr>
  </w:style>
  <w:style w:type="character" w:styleId="PageNumber">
    <w:name w:val="page number"/>
    <w:basedOn w:val="DefaultParagraphFont"/>
    <w:rPr>
      <w:sz w:val="20"/>
    </w:rPr>
  </w:style>
  <w:style w:type="character" w:styleId="zzmpTrailerItem">
    <w:name w:val="zzmpTrailerItem"/>
    <w:basedOn w:val="DefaultParagraphFont"/>
    <w:qFormat/>
    <w:rPr>
      <w:sz w:val="16"/>
    </w:rPr>
  </w:style>
  <w:style w:type="paragraph" w:styleId="Heading">
    <w:name w:val="Heading"/>
    <w:basedOn w:val="Normal"/>
    <w:next w:val="BodyText"/>
    <w:qFormat/>
    <w:pPr>
      <w:jc w:val="center"/>
    </w:pPr>
    <w:rPr>
      <w:b/>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FirstIndent">
    <w:name w:val="Body Text First Indent"/>
    <w:basedOn w:val="BodyText"/>
    <w:qFormat/>
    <w:pPr>
      <w:spacing w:before="0" w:after="240"/>
    </w:pPr>
    <w:rPr/>
  </w:style>
  <w:style w:type="paragraph" w:styleId="Corporate1">
    <w:name w:val="Corporate 1"/>
    <w:basedOn w:val="Normal"/>
    <w:next w:val="Corporate2"/>
    <w:qFormat/>
    <w:pPr>
      <w:spacing w:before="0" w:after="360"/>
      <w:ind w:firstLine="5040" w:start="0" w:end="0"/>
      <w:jc w:val="center"/>
    </w:pPr>
    <w:rPr>
      <w:b/>
      <w:caps/>
    </w:rPr>
  </w:style>
  <w:style w:type="paragraph" w:styleId="Corporate2">
    <w:name w:val="Corporate 2"/>
    <w:basedOn w:val="Normal"/>
    <w:next w:val="Normal"/>
    <w:qFormat/>
    <w:pPr>
      <w:tabs>
        <w:tab w:val="clear" w:pos="720"/>
        <w:tab w:val="left" w:pos="1440" w:leader="none"/>
        <w:tab w:val="left" w:pos="1800" w:leader="none"/>
      </w:tabs>
      <w:spacing w:before="0" w:after="240"/>
    </w:pPr>
    <w:rPr/>
  </w:style>
  <w:style w:type="paragraph" w:styleId="Corporate3">
    <w:name w:val="Corporate 3"/>
    <w:basedOn w:val="Normal"/>
    <w:qFormat/>
    <w:pPr>
      <w:tabs>
        <w:tab w:val="clear" w:pos="720"/>
        <w:tab w:val="left" w:pos="1080" w:leader="none"/>
      </w:tabs>
      <w:spacing w:before="0" w:after="240"/>
      <w:ind w:hanging="0" w:start="720" w:end="0"/>
    </w:pPr>
    <w:rPr/>
  </w:style>
  <w:style w:type="paragraph" w:styleId="Corporate4">
    <w:name w:val="Corporate 4"/>
    <w:basedOn w:val="Normal"/>
    <w:qFormat/>
    <w:pPr>
      <w:tabs>
        <w:tab w:val="clear" w:pos="720"/>
        <w:tab w:val="left" w:pos="2160" w:leader="none"/>
      </w:tabs>
      <w:spacing w:before="0" w:after="240"/>
      <w:ind w:hanging="0" w:start="1440" w:end="0"/>
    </w:pPr>
    <w:rPr/>
  </w:style>
  <w:style w:type="paragraph" w:styleId="Corporate1A">
    <w:name w:val="Corporate1A"/>
    <w:basedOn w:val="Normal"/>
    <w:next w:val="Corporate2"/>
    <w:qFormat/>
    <w:pPr>
      <w:tabs>
        <w:tab w:val="clear" w:pos="720"/>
        <w:tab w:val="center" w:pos="4680" w:leader="none"/>
      </w:tabs>
      <w:spacing w:before="0" w:after="240"/>
      <w:jc w:val="center"/>
    </w:pPr>
    <w:rPr/>
  </w:style>
  <w:style w:type="paragraph" w:styleId="PlainText">
    <w:name w:val="Plain Text"/>
    <w:basedOn w:val="Normal"/>
    <w:qFormat/>
    <w:pPr/>
    <w:rPr>
      <w:rFonts w:ascii="Courier New" w:hAnsi="Courier New" w:cs="Courier New"/>
      <w:sz w:val="20"/>
    </w:rPr>
  </w:style>
  <w:style w:type="paragraph" w:styleId="Section1">
    <w:name w:val="Section 1"/>
    <w:basedOn w:val="PlainText"/>
    <w:qFormat/>
    <w:pPr>
      <w:keepNext w:val="true"/>
      <w:spacing w:before="0" w:after="240"/>
    </w:pPr>
    <w:rPr>
      <w:rFonts w:ascii="Times New Roman Bold" w:hAnsi="Times New Roman Bold" w:cs="Times New Roman Bold"/>
      <w:b/>
      <w:caps/>
      <w:sz w:val="24"/>
    </w:rPr>
  </w:style>
  <w:style w:type="paragraph" w:styleId="Section11">
    <w:name w:val="Section 1.1"/>
    <w:basedOn w:val="Normal"/>
    <w:qFormat/>
    <w:pPr>
      <w:tabs>
        <w:tab w:val="clear" w:pos="720"/>
        <w:tab w:val="left" w:pos="1440" w:leader="none"/>
      </w:tabs>
      <w:spacing w:before="0" w:after="240"/>
      <w:ind w:hanging="720" w:start="1440" w:end="0"/>
    </w:pPr>
    <w:rPr/>
  </w:style>
  <w:style w:type="paragraph" w:styleId="Section111">
    <w:name w:val="Section 1.1.1"/>
    <w:basedOn w:val="Normal"/>
    <w:qFormat/>
    <w:pPr>
      <w:tabs>
        <w:tab w:val="clear" w:pos="720"/>
        <w:tab w:val="left" w:pos="2160" w:leader="none"/>
      </w:tabs>
      <w:spacing w:before="0" w:after="240"/>
      <w:ind w:hanging="720" w:start="2160" w:end="0"/>
    </w:pPr>
    <w:rPr/>
  </w:style>
  <w:style w:type="paragraph" w:styleId="ParaA">
    <w:name w:val="ParaA"/>
    <w:basedOn w:val="Normal"/>
    <w:next w:val="ParaDot"/>
    <w:qFormat/>
    <w:pPr>
      <w:keepNext w:val="true"/>
      <w:keepLines/>
      <w:tabs>
        <w:tab w:val="clear" w:pos="720"/>
        <w:tab w:val="left" w:pos="1800" w:leader="none"/>
      </w:tabs>
      <w:spacing w:before="0" w:after="240"/>
      <w:ind w:hanging="360" w:start="1800" w:end="0"/>
    </w:pPr>
    <w:rPr/>
  </w:style>
  <w:style w:type="paragraph" w:styleId="ParaDot">
    <w:name w:val="ParaDot"/>
    <w:basedOn w:val="Normal"/>
    <w:qFormat/>
    <w:pPr>
      <w:tabs>
        <w:tab w:val="clear" w:pos="720"/>
        <w:tab w:val="left" w:pos="1800" w:leader="none"/>
      </w:tabs>
      <w:spacing w:before="0" w:after="240"/>
      <w:ind w:hanging="360" w:start="1800" w:end="0"/>
    </w:pPr>
    <w:rPr/>
  </w:style>
  <w:style w:type="paragraph" w:styleId="Term">
    <w:name w:val="Term"/>
    <w:basedOn w:val="Normal"/>
    <w:qFormat/>
    <w:pPr>
      <w:spacing w:before="0" w:after="240"/>
      <w:ind w:hanging="1440" w:start="144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2001-03-31T02:22:00Z</dcterms:created>
  <dc:creator>Bracewell &amp; Patterson</dc:creator>
  <dc:description/>
  <dc:language>en-CA</dc:language>
  <cp:lastModifiedBy>WBice</cp:lastModifiedBy>
  <cp:lastPrinted>2001-03-22T18:09:00Z</cp:lastPrinted>
  <dcterms:modified xsi:type="dcterms:W3CDTF">2001-03-31T02:22:00Z</dcterms:modified>
  <cp:revision>2</cp:revision>
  <dc:subject/>
  <dc:title>ATTACHMENT "A"</dc:title>
</cp:coreProperties>
</file>