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end="0"/>
        <w:jc w:val="center"/>
        <w:rPr>
          <w:rFonts w:ascii="Times New Roman" w:hAnsi="Times New Roman" w:cs="Times New Roman"/>
          <w:sz w:val="22"/>
        </w:rPr>
      </w:pPr>
      <w:r>
        <w:rPr>
          <w:rFonts w:cs="Times New Roman" w:ascii="Times New Roman" w:hAnsi="Times New Roman"/>
          <w:sz w:val="22"/>
        </w:rPr>
        <w:t xml:space="preserve">Term Sheet for Natural Gas Supply and Electricity Marketing and Scheduling Coordination Services </w:t>
      </w:r>
    </w:p>
    <w:p>
      <w:pPr>
        <w:pStyle w:val="Heading5"/>
        <w:ind w:hanging="0" w:start="0" w:end="0"/>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sz w:val="22"/>
        </w:rPr>
      </w:r>
    </w:p>
    <w:p>
      <w:pPr>
        <w:pStyle w:val="Heading6"/>
        <w:ind w:hanging="360" w:start="360" w:end="0"/>
        <w:rPr/>
      </w:pPr>
      <w:r>
        <w:rPr/>
        <w:t>I.</w:t>
        <w:tab/>
        <w:t xml:space="preserve">Transaction Overview:  Natural Gas and Electricity Management </w:t>
      </w:r>
    </w:p>
    <w:p>
      <w:pPr>
        <w:pStyle w:val="Normal"/>
        <w:ind w:hanging="720" w:start="720" w:end="0"/>
        <w:rPr>
          <w:b/>
          <w:bCs/>
          <w:sz w:val="22"/>
        </w:rPr>
      </w:pPr>
      <w:r>
        <w:rPr>
          <w:b/>
          <w:bCs/>
          <w:sz w:val="22"/>
        </w:rPr>
      </w:r>
    </w:p>
    <w:p>
      <w:pPr>
        <w:pStyle w:val="Heading3"/>
        <w:numPr>
          <w:ilvl w:val="0"/>
          <w:numId w:val="3"/>
        </w:numPr>
        <w:tabs>
          <w:tab w:val="left" w:pos="720" w:leader="none"/>
        </w:tabs>
        <w:ind w:hanging="360" w:start="720" w:end="0"/>
        <w:rPr>
          <w:b w:val="false"/>
          <w:bCs w:val="false"/>
        </w:rPr>
      </w:pPr>
      <w:r>
        <w:rPr>
          <w:b w:val="false"/>
          <w:bCs w:val="false"/>
        </w:rPr>
        <w:t>Enron Organizations</w:t>
      </w:r>
    </w:p>
    <w:p>
      <w:pPr>
        <w:pStyle w:val="Normal"/>
        <w:numPr>
          <w:ilvl w:val="1"/>
          <w:numId w:val="3"/>
        </w:numPr>
        <w:tabs>
          <w:tab w:val="clear" w:pos="720"/>
          <w:tab w:val="left" w:pos="1080" w:leader="none"/>
        </w:tabs>
        <w:ind w:hanging="360" w:start="1080" w:end="0"/>
        <w:rPr>
          <w:sz w:val="22"/>
        </w:rPr>
      </w:pPr>
      <w:r>
        <w:rPr>
          <w:sz w:val="22"/>
        </w:rPr>
        <w:t xml:space="preserve">Enron North America (ENA) - Natural Gas Supply, Scheduling and Balancing </w:t>
      </w:r>
    </w:p>
    <w:p>
      <w:pPr>
        <w:pStyle w:val="Normal"/>
        <w:numPr>
          <w:ilvl w:val="1"/>
          <w:numId w:val="3"/>
        </w:numPr>
        <w:tabs>
          <w:tab w:val="clear" w:pos="720"/>
          <w:tab w:val="left" w:pos="1080" w:leader="none"/>
        </w:tabs>
        <w:ind w:hanging="360" w:start="1080" w:end="0"/>
        <w:rPr>
          <w:sz w:val="22"/>
        </w:rPr>
      </w:pPr>
      <w:r>
        <w:rPr>
          <w:sz w:val="22"/>
        </w:rPr>
        <w:t>Enron Power Marketing Inc. (EPMI) - Electricity Marketing and Scheduling Coordination</w:t>
        <w:tab/>
      </w:r>
    </w:p>
    <w:p>
      <w:pPr>
        <w:pStyle w:val="Normal"/>
        <w:rPr>
          <w:sz w:val="22"/>
        </w:rPr>
      </w:pPr>
      <w:r>
        <w:rPr>
          <w:sz w:val="22"/>
        </w:rPr>
      </w:r>
    </w:p>
    <w:p>
      <w:pPr>
        <w:pStyle w:val="Normal"/>
        <w:numPr>
          <w:ilvl w:val="0"/>
          <w:numId w:val="3"/>
        </w:numPr>
        <w:tabs>
          <w:tab w:val="left" w:pos="720" w:leader="none"/>
        </w:tabs>
        <w:ind w:hanging="360" w:start="720" w:end="0"/>
        <w:rPr>
          <w:sz w:val="22"/>
        </w:rPr>
      </w:pPr>
      <w:r>
        <w:rPr>
          <w:sz w:val="22"/>
        </w:rPr>
        <w:t xml:space="preserve">Structure - Jefferson Smurfit Corporation (JSC) can select services on a mutually exclusive basis, meaning that ENA can be selected as a gas supplier, while not selecting EPMI to provide electricity marketing and scheduling coordination services, or vice versa.  However, Enron believes it can provide the greatest value under a risk management approach combining both commodities to assist JSC manage forward price exposure with selective hedging (buying gas forward and selling electricity) when market opportunities present themselves.  Kim Ward in Houston would be the primary contact person for JSC for natural gas and Chris Foster in Portland for electricity.  These individuals also would with the various Enron support groups to analyze markets and suggest pricing decisions when market fundamentals indicate that forward natural gas purchases or electricity sales are warranted and work to determine if and when it made sense for JSC to turn on the boilers instead of utilizing the turbine.  These individuals also would coordinate all of the scheduling and settlement services provided by Enron to make sure all aspects of the relationship between the companies are managed efficiently and professionally. </w:t>
      </w:r>
    </w:p>
    <w:p>
      <w:pPr>
        <w:pStyle w:val="Normal"/>
        <w:tabs>
          <w:tab w:val="clear" w:pos="720"/>
          <w:tab w:val="left" w:pos="630" w:leader="none"/>
        </w:tabs>
        <w:ind w:hanging="360" w:start="720" w:end="0"/>
        <w:rPr>
          <w:sz w:val="22"/>
        </w:rPr>
      </w:pPr>
      <w:r>
        <w:rPr>
          <w:sz w:val="22"/>
        </w:rPr>
      </w:r>
    </w:p>
    <w:p>
      <w:pPr>
        <w:pStyle w:val="Normal"/>
        <w:tabs>
          <w:tab w:val="left" w:pos="720" w:leader="none"/>
        </w:tabs>
        <w:ind w:hanging="360" w:start="720" w:end="0"/>
        <w:rPr>
          <w:sz w:val="22"/>
        </w:rPr>
      </w:pPr>
      <w:r>
        <w:rPr>
          <w:sz w:val="22"/>
        </w:rPr>
        <w:t>C.</w:t>
        <w:tab/>
        <w:t>Term:</w:t>
        <w:tab/>
        <w:t>September 1, 2001 – September 30, 2002 and month to month thereafter (EPMI suggests that extending the term through September 2002 is beneficial as it will avoid ending the contract before Q3 ends).  And, the current REFC Order regarding price caps is set to expire at this time as well.</w:t>
      </w:r>
    </w:p>
    <w:p>
      <w:pPr>
        <w:pStyle w:val="Normal"/>
        <w:tabs>
          <w:tab w:val="left" w:pos="720" w:leader="none"/>
        </w:tabs>
        <w:ind w:start="720" w:end="0"/>
        <w:rPr>
          <w:sz w:val="22"/>
        </w:rPr>
      </w:pPr>
      <w:r>
        <w:rPr>
          <w:sz w:val="22"/>
        </w:rPr>
      </w:r>
    </w:p>
    <w:p>
      <w:pPr>
        <w:pStyle w:val="Normal"/>
        <w:numPr>
          <w:ilvl w:val="0"/>
          <w:numId w:val="12"/>
        </w:numPr>
        <w:tabs>
          <w:tab w:val="left" w:pos="720" w:leader="none"/>
        </w:tabs>
        <w:ind w:hanging="720" w:start="1080" w:end="0"/>
        <w:rPr>
          <w:sz w:val="22"/>
        </w:rPr>
      </w:pPr>
      <w:r>
        <w:rPr>
          <w:sz w:val="22"/>
        </w:rPr>
        <w:t>Contracts</w:t>
      </w:r>
    </w:p>
    <w:p>
      <w:pPr>
        <w:pStyle w:val="Normal"/>
        <w:numPr>
          <w:ilvl w:val="1"/>
          <w:numId w:val="3"/>
        </w:numPr>
        <w:tabs>
          <w:tab w:val="left" w:pos="720" w:leader="none"/>
          <w:tab w:val="left" w:pos="1080" w:leader="none"/>
        </w:tabs>
        <w:ind w:hanging="360" w:start="1080" w:end="0"/>
        <w:rPr>
          <w:sz w:val="22"/>
        </w:rPr>
      </w:pPr>
      <w:r>
        <w:rPr>
          <w:sz w:val="22"/>
        </w:rPr>
        <w:t xml:space="preserve">Natural Gas – Use contract mechanism currently in place </w:t>
      </w:r>
    </w:p>
    <w:p>
      <w:pPr>
        <w:pStyle w:val="Normal"/>
        <w:numPr>
          <w:ilvl w:val="1"/>
          <w:numId w:val="3"/>
        </w:numPr>
        <w:tabs>
          <w:tab w:val="left" w:pos="720" w:leader="none"/>
          <w:tab w:val="left" w:pos="1080" w:leader="none"/>
        </w:tabs>
        <w:ind w:hanging="360" w:start="1080" w:end="0"/>
        <w:rPr>
          <w:sz w:val="22"/>
        </w:rPr>
      </w:pPr>
      <w:r>
        <w:rPr>
          <w:sz w:val="22"/>
        </w:rPr>
        <w:t xml:space="preserve">Electricity </w:t>
      </w:r>
    </w:p>
    <w:p>
      <w:pPr>
        <w:pStyle w:val="Normal"/>
        <w:numPr>
          <w:ilvl w:val="3"/>
          <w:numId w:val="3"/>
        </w:numPr>
        <w:tabs>
          <w:tab w:val="left" w:pos="720" w:leader="none"/>
          <w:tab w:val="left" w:pos="1440" w:leader="none"/>
        </w:tabs>
        <w:ind w:hanging="360" w:start="1440" w:end="0"/>
        <w:rPr>
          <w:sz w:val="22"/>
        </w:rPr>
      </w:pPr>
      <w:r>
        <w:rPr>
          <w:sz w:val="22"/>
        </w:rPr>
        <w:t xml:space="preserve">Master Agreement – Edison Electric Institute (EEI) agreement needs to be executed. </w:t>
      </w:r>
    </w:p>
    <w:p>
      <w:pPr>
        <w:pStyle w:val="Normal"/>
        <w:numPr>
          <w:ilvl w:val="3"/>
          <w:numId w:val="3"/>
        </w:numPr>
        <w:tabs>
          <w:tab w:val="left" w:pos="720" w:leader="none"/>
          <w:tab w:val="left" w:pos="1440" w:leader="none"/>
        </w:tabs>
        <w:ind w:hanging="360" w:start="1440" w:end="0"/>
        <w:rPr>
          <w:sz w:val="22"/>
        </w:rPr>
      </w:pPr>
      <w:r>
        <w:rPr>
          <w:sz w:val="22"/>
        </w:rPr>
        <w:t>Confirmation Letter – See enclosed draft agreement that would document the transaction proposed herein as an attachment to the EEI Master Agreement.</w:t>
      </w:r>
    </w:p>
    <w:p>
      <w:pPr>
        <w:pStyle w:val="Normal"/>
        <w:tabs>
          <w:tab w:val="left" w:pos="720" w:leader="none"/>
        </w:tabs>
        <w:rPr>
          <w:sz w:val="22"/>
        </w:rPr>
      </w:pPr>
      <w:r>
        <w:rPr>
          <w:sz w:val="22"/>
        </w:rPr>
      </w:r>
    </w:p>
    <w:p>
      <w:pPr>
        <w:pStyle w:val="Normal"/>
        <w:tabs>
          <w:tab w:val="left" w:pos="720" w:leader="none"/>
        </w:tabs>
        <w:ind w:hanging="360" w:start="720" w:end="0"/>
        <w:rPr>
          <w:sz w:val="22"/>
        </w:rPr>
      </w:pPr>
      <w:r>
        <w:rPr>
          <w:sz w:val="22"/>
        </w:rPr>
        <w:t>E.</w:t>
        <w:tab/>
        <w:t>Credit – Subject to credit approvals</w:t>
      </w:r>
    </w:p>
    <w:p>
      <w:pPr>
        <w:pStyle w:val="Normal"/>
        <w:rPr>
          <w:sz w:val="22"/>
        </w:rPr>
      </w:pPr>
      <w:r>
        <w:rPr>
          <w:sz w:val="22"/>
        </w:rPr>
      </w:r>
    </w:p>
    <w:p>
      <w:pPr>
        <w:pStyle w:val="BodyTextIndent"/>
        <w:tabs>
          <w:tab w:val="clear" w:pos="720"/>
        </w:tabs>
        <w:ind w:start="360" w:end="0"/>
        <w:rPr>
          <w:b/>
          <w:sz w:val="22"/>
        </w:rPr>
      </w:pPr>
      <w:r>
        <w:rPr>
          <w:b/>
          <w:bCs/>
        </w:rPr>
        <w:t>II.</w:t>
      </w:r>
      <w:r>
        <w:rPr/>
        <w:tab/>
      </w:r>
      <w:r>
        <w:rPr>
          <w:b/>
          <w:bCs/>
          <w:sz w:val="22"/>
        </w:rPr>
        <w:t>Electricity Marketing and Scheduling Coordination</w:t>
      </w:r>
      <w:r>
        <w:rPr>
          <w:sz w:val="22"/>
        </w:rPr>
        <w:t xml:space="preserve"> </w:t>
      </w:r>
    </w:p>
    <w:p>
      <w:pPr>
        <w:pStyle w:val="BodyTextIndent"/>
        <w:tabs>
          <w:tab w:val="clear" w:pos="720"/>
        </w:tabs>
        <w:ind w:hanging="720" w:end="0"/>
        <w:rPr>
          <w:b/>
          <w:sz w:val="22"/>
        </w:rPr>
      </w:pPr>
      <w:r>
        <w:rPr>
          <w:b/>
          <w:sz w:val="22"/>
        </w:rPr>
      </w:r>
    </w:p>
    <w:p>
      <w:pPr>
        <w:pStyle w:val="BodyTextIndent"/>
        <w:numPr>
          <w:ilvl w:val="0"/>
          <w:numId w:val="11"/>
        </w:numPr>
        <w:rPr>
          <w:sz w:val="22"/>
        </w:rPr>
      </w:pPr>
      <w:r>
        <w:rPr>
          <w:bCs/>
          <w:sz w:val="22"/>
        </w:rPr>
        <w:t>Agreement Overview</w:t>
      </w:r>
    </w:p>
    <w:p>
      <w:pPr>
        <w:pStyle w:val="BodyTextIndent"/>
        <w:numPr>
          <w:ilvl w:val="0"/>
          <w:numId w:val="8"/>
        </w:numPr>
        <w:tabs>
          <w:tab w:val="clear" w:pos="720"/>
          <w:tab w:val="left" w:pos="1080" w:leader="none"/>
        </w:tabs>
        <w:ind w:hanging="360" w:start="1080" w:end="0"/>
        <w:rPr>
          <w:sz w:val="22"/>
        </w:rPr>
      </w:pPr>
      <w:r>
        <w:rPr>
          <w:sz w:val="22"/>
        </w:rPr>
        <w:t xml:space="preserve">JSC can sell energy to EPMI through a Bilateral Transaction or can request that EPMI market JSC’s energy to third parties (“Pass-Through Service”).  </w:t>
      </w:r>
    </w:p>
    <w:p>
      <w:pPr>
        <w:pStyle w:val="BodyTextIndent"/>
        <w:numPr>
          <w:ilvl w:val="0"/>
          <w:numId w:val="8"/>
        </w:numPr>
        <w:tabs>
          <w:tab w:val="clear" w:pos="720"/>
          <w:tab w:val="left" w:pos="1080" w:leader="none"/>
        </w:tabs>
        <w:ind w:hanging="360" w:start="1080" w:end="0"/>
        <w:rPr>
          <w:sz w:val="22"/>
        </w:rPr>
      </w:pPr>
      <w:r>
        <w:rPr>
          <w:sz w:val="22"/>
        </w:rPr>
        <w:t xml:space="preserve"> </w:t>
      </w:r>
      <w:r>
        <w:rPr>
          <w:sz w:val="22"/>
        </w:rPr>
        <w:t xml:space="preserve">If EPMI purchases energy from JSC through Bilateral Transactions, EPMI shall take title to such energy at the Delivery Point, provide all necessary credit to support such energy purchases, and will make payments for such energy according to the terms of this Confirmation Letter. </w:t>
      </w:r>
    </w:p>
    <w:p>
      <w:pPr>
        <w:pStyle w:val="BodyTextIndent"/>
        <w:numPr>
          <w:ilvl w:val="0"/>
          <w:numId w:val="8"/>
        </w:numPr>
        <w:tabs>
          <w:tab w:val="clear" w:pos="720"/>
          <w:tab w:val="left" w:pos="1080" w:leader="none"/>
        </w:tabs>
        <w:ind w:hanging="360" w:start="1080" w:end="0"/>
        <w:rPr>
          <w:sz w:val="22"/>
        </w:rPr>
      </w:pPr>
      <w:r>
        <w:rPr>
          <w:sz w:val="22"/>
        </w:rPr>
        <w:t>When EPMI markets JSC’s energy to third parties under a Pass-Through Transaction, EPMI will not take title to JSC’s energy, but will sell such energy to third parties on JSC’s behalf using prudent marketing practices to maximize JSC’s net revenues.  JSC understands that under a Pass-Through Transaction EPMI shall not take title to JSC’s energy, except as necessary to market such energy to third parties, and shall bear no responsibility for any shortage, delay, or reduction in payment that the originator of the payment may have caused.</w:t>
      </w:r>
    </w:p>
    <w:p>
      <w:pPr>
        <w:pStyle w:val="BodyTextIndent"/>
        <w:numPr>
          <w:ilvl w:val="0"/>
          <w:numId w:val="8"/>
        </w:numPr>
        <w:tabs>
          <w:tab w:val="clear" w:pos="720"/>
          <w:tab w:val="left" w:pos="1080" w:leader="none"/>
        </w:tabs>
        <w:ind w:hanging="360" w:start="1080" w:end="0"/>
        <w:rPr>
          <w:sz w:val="22"/>
        </w:rPr>
      </w:pPr>
      <w:r>
        <w:rPr>
          <w:sz w:val="22"/>
        </w:rPr>
        <w:t xml:space="preserve">Scheduling Services: For both Bilateral Transactions and Pass Through Transactions, EPMI shall act as JSC’s Scheduling Coordinator (“SC”) in compliance with the California Independent System Operator (“CAISO”) Tariff then in effect.  EPMI will act to fulfill its obligations to develop CAISO schedules (“Schedule”), transmit them to the CAISO, and act on instructions received. As JSC’s SC, EPMI will pass through all revenues and costs received or incurred from the CAISO on behalf of JSC.  </w:t>
      </w:r>
    </w:p>
    <w:p>
      <w:pPr>
        <w:pStyle w:val="BodyTextIndent"/>
        <w:tabs>
          <w:tab w:val="clear" w:pos="720"/>
        </w:tabs>
        <w:ind w:hanging="0" w:start="0" w:end="0"/>
        <w:rPr>
          <w:sz w:val="22"/>
        </w:rPr>
      </w:pPr>
      <w:r>
        <w:rPr>
          <w:sz w:val="22"/>
        </w:rPr>
      </w:r>
    </w:p>
    <w:p>
      <w:pPr>
        <w:pStyle w:val="BodyTextIndent"/>
        <w:tabs>
          <w:tab w:val="clear" w:pos="720"/>
        </w:tabs>
        <w:rPr>
          <w:bCs/>
          <w:sz w:val="22"/>
        </w:rPr>
      </w:pPr>
      <w:r>
        <w:rPr>
          <w:bCs/>
          <w:sz w:val="22"/>
        </w:rPr>
        <w:t>B.</w:t>
        <w:tab/>
        <w:t xml:space="preserve">Price </w:t>
      </w:r>
    </w:p>
    <w:p>
      <w:pPr>
        <w:pStyle w:val="BodyTextIndent"/>
        <w:numPr>
          <w:ilvl w:val="0"/>
          <w:numId w:val="9"/>
        </w:numPr>
        <w:tabs>
          <w:tab w:val="clear" w:pos="720"/>
        </w:tabs>
        <w:ind w:hanging="360" w:start="1080" w:end="0"/>
        <w:rPr>
          <w:sz w:val="22"/>
        </w:rPr>
      </w:pPr>
      <w:r>
        <w:rPr>
          <w:sz w:val="22"/>
        </w:rPr>
        <w:t xml:space="preserve">For Bilateral Transactions, Energy can be sold to EPMI by JSC on a Real Time or Day Ahead basis. </w:t>
      </w:r>
    </w:p>
    <w:p>
      <w:pPr>
        <w:pStyle w:val="BodyTextIndent"/>
        <w:numPr>
          <w:ilvl w:val="1"/>
          <w:numId w:val="11"/>
        </w:numPr>
        <w:tabs>
          <w:tab w:val="clear" w:pos="720"/>
        </w:tabs>
        <w:rPr>
          <w:sz w:val="22"/>
        </w:rPr>
      </w:pPr>
      <w:r>
        <w:rPr>
          <w:sz w:val="22"/>
        </w:rPr>
        <w:t>Real Time sales shall be made on a mutually acceptable basis, the Price being determined at the time of the transaction.</w:t>
      </w:r>
    </w:p>
    <w:p>
      <w:pPr>
        <w:pStyle w:val="BodyTextIndent"/>
        <w:numPr>
          <w:ilvl w:val="1"/>
          <w:numId w:val="11"/>
        </w:numPr>
        <w:tabs>
          <w:tab w:val="clear" w:pos="720"/>
        </w:tabs>
        <w:rPr>
          <w:sz w:val="22"/>
        </w:rPr>
      </w:pPr>
      <w:r>
        <w:rPr>
          <w:sz w:val="22"/>
        </w:rPr>
        <w:t xml:space="preserve">Day Ahead Pricing Options </w:t>
      </w:r>
    </w:p>
    <w:p>
      <w:pPr>
        <w:pStyle w:val="BodyTextIndent"/>
        <w:numPr>
          <w:ilvl w:val="0"/>
          <w:numId w:val="4"/>
        </w:numPr>
        <w:tabs>
          <w:tab w:val="clear" w:pos="720"/>
        </w:tabs>
        <w:rPr>
          <w:sz w:val="22"/>
        </w:rPr>
      </w:pPr>
      <w:r>
        <w:rPr>
          <w:sz w:val="22"/>
        </w:rPr>
        <w:t>Fixed Price - The Parties can work together to establish a mutually acceptable Fixed Price.  Current Fixed Prices are indicated on the attached spreadsheet.</w:t>
      </w:r>
    </w:p>
    <w:p>
      <w:pPr>
        <w:pStyle w:val="BodyTextIndent"/>
        <w:numPr>
          <w:ilvl w:val="0"/>
          <w:numId w:val="4"/>
        </w:numPr>
        <w:tabs>
          <w:tab w:val="clear" w:pos="720"/>
          <w:tab w:val="left" w:pos="2700" w:leader="none"/>
        </w:tabs>
        <w:rPr>
          <w:sz w:val="22"/>
        </w:rPr>
      </w:pPr>
      <w:r>
        <w:rPr>
          <w:sz w:val="22"/>
        </w:rPr>
        <w:t xml:space="preserve">Price Taker Price - EPMI will aggregate JSC’s energy with other energy purchased from other Parties and enter into transactions to sell this energy.  At the conclusion of trading each Day, EPMI will notify JSC of the Price it will pay for energy scheduled by JSC.  In no case shall the Price be less than 80% of the Indexed Price where the IP shall be the </w:t>
      </w:r>
      <w:r>
        <w:rPr>
          <w:color w:val="000000"/>
          <w:sz w:val="22"/>
        </w:rPr>
        <w:t xml:space="preserve">price posted in the </w:t>
      </w:r>
      <w:r>
        <w:rPr>
          <w:color w:val="000000"/>
          <w:sz w:val="22"/>
          <w:u w:val="single"/>
        </w:rPr>
        <w:t>Wall Street Journal</w:t>
      </w:r>
      <w:r>
        <w:rPr>
          <w:color w:val="000000"/>
          <w:sz w:val="22"/>
        </w:rPr>
        <w:t xml:space="preserve"> for electricity traded on that date for the SP-15 delivery point, as applicable (“Dow Jones Index”).</w:t>
      </w:r>
    </w:p>
    <w:p>
      <w:pPr>
        <w:pStyle w:val="BodyTextIndent"/>
        <w:numPr>
          <w:ilvl w:val="0"/>
          <w:numId w:val="4"/>
        </w:numPr>
        <w:tabs>
          <w:tab w:val="clear" w:pos="720"/>
          <w:tab w:val="left" w:pos="2700" w:leader="none"/>
        </w:tabs>
        <w:rPr>
          <w:bCs/>
          <w:sz w:val="22"/>
        </w:rPr>
      </w:pPr>
      <w:r>
        <w:rPr>
          <w:color w:val="000000"/>
          <w:sz w:val="22"/>
        </w:rPr>
        <w:t>I</w:t>
      </w:r>
      <w:r>
        <w:rPr>
          <w:sz w:val="22"/>
        </w:rPr>
        <w:t>ndex Price – Dow Jones Index times 88%.</w:t>
      </w:r>
    </w:p>
    <w:p>
      <w:pPr>
        <w:pStyle w:val="BodyTextIndent"/>
        <w:numPr>
          <w:ilvl w:val="0"/>
          <w:numId w:val="9"/>
        </w:numPr>
        <w:tabs>
          <w:tab w:val="clear" w:pos="720"/>
        </w:tabs>
        <w:ind w:hanging="360" w:start="1080" w:end="0"/>
        <w:rPr>
          <w:sz w:val="22"/>
        </w:rPr>
      </w:pPr>
      <w:r>
        <w:rPr>
          <w:sz w:val="22"/>
        </w:rPr>
        <w:t>For Pass Through Transactions, JSC shall negotiate pricing with the Third party and manage the invoicing process.  EPMI shall collect $5.00/MWhr for all Pass Through Transactions.</w:t>
      </w:r>
    </w:p>
    <w:p>
      <w:pPr>
        <w:pStyle w:val="BodyTextIndent"/>
        <w:tabs>
          <w:tab w:val="clear" w:pos="720"/>
        </w:tabs>
        <w:rPr>
          <w:bCs/>
          <w:sz w:val="22"/>
        </w:rPr>
      </w:pPr>
      <w:r>
        <w:rPr>
          <w:bCs/>
          <w:sz w:val="22"/>
        </w:rPr>
      </w:r>
    </w:p>
    <w:p>
      <w:pPr>
        <w:pStyle w:val="BodyTextIndent"/>
        <w:numPr>
          <w:ilvl w:val="0"/>
          <w:numId w:val="3"/>
        </w:numPr>
        <w:ind w:hanging="360" w:start="720" w:end="0"/>
        <w:rPr>
          <w:sz w:val="22"/>
        </w:rPr>
      </w:pPr>
      <w:r>
        <w:rPr>
          <w:bCs/>
          <w:sz w:val="22"/>
        </w:rPr>
        <w:t xml:space="preserve">Scheduling Coordination (SC) Services:  </w:t>
      </w:r>
    </w:p>
    <w:p>
      <w:pPr>
        <w:pStyle w:val="BodyTextIndent"/>
        <w:numPr>
          <w:ilvl w:val="0"/>
          <w:numId w:val="10"/>
        </w:numPr>
        <w:tabs>
          <w:tab w:val="clear" w:pos="720"/>
          <w:tab w:val="left" w:pos="1080" w:leader="none"/>
        </w:tabs>
        <w:ind w:hanging="360" w:start="1080" w:end="0"/>
        <w:rPr>
          <w:sz w:val="22"/>
        </w:rPr>
      </w:pPr>
      <w:r>
        <w:rPr>
          <w:bCs/>
          <w:sz w:val="22"/>
        </w:rPr>
        <w:t>EPMI will provide SC ser</w:t>
      </w:r>
      <w:r>
        <w:rPr>
          <w:sz w:val="22"/>
        </w:rPr>
        <w:t>vices in accordance with the tariffs, rules, regulations, procedures, protocols and guidelines of the California Independent System Operator (CAISO) (the “Tariff”).</w:t>
      </w:r>
    </w:p>
    <w:p>
      <w:pPr>
        <w:pStyle w:val="BodyTextIndent"/>
        <w:numPr>
          <w:ilvl w:val="0"/>
          <w:numId w:val="10"/>
        </w:numPr>
        <w:tabs>
          <w:tab w:val="clear" w:pos="720"/>
          <w:tab w:val="left" w:pos="1080" w:leader="none"/>
        </w:tabs>
        <w:ind w:hanging="360" w:start="1080" w:end="0"/>
        <w:rPr>
          <w:sz w:val="22"/>
        </w:rPr>
      </w:pPr>
      <w:r>
        <w:rPr>
          <w:sz w:val="22"/>
        </w:rPr>
        <w:t xml:space="preserve">EPMI will pass through all revenues and costs to JSC, including those related to imbalance energy, less certain fees as discussed herein. </w:t>
      </w:r>
    </w:p>
    <w:p>
      <w:pPr>
        <w:pStyle w:val="BodyTextIndent"/>
        <w:numPr>
          <w:ilvl w:val="0"/>
          <w:numId w:val="10"/>
        </w:numPr>
        <w:tabs>
          <w:tab w:val="clear" w:pos="720"/>
          <w:tab w:val="left" w:pos="1080" w:leader="none"/>
        </w:tabs>
        <w:ind w:hanging="360" w:start="1080" w:end="0"/>
        <w:rPr>
          <w:sz w:val="22"/>
        </w:rPr>
      </w:pPr>
      <w:r>
        <w:rPr>
          <w:sz w:val="22"/>
        </w:rPr>
        <w:t>JSC shall provide a pre-schedule to EPMI according to trading deadlines.</w:t>
      </w:r>
    </w:p>
    <w:p>
      <w:pPr>
        <w:pStyle w:val="BodyTextIndent"/>
        <w:numPr>
          <w:ilvl w:val="0"/>
          <w:numId w:val="10"/>
        </w:numPr>
        <w:tabs>
          <w:tab w:val="clear" w:pos="720"/>
          <w:tab w:val="left" w:pos="1080" w:leader="none"/>
        </w:tabs>
        <w:ind w:hanging="360" w:start="1080" w:end="0"/>
        <w:rPr>
          <w:sz w:val="22"/>
        </w:rPr>
      </w:pPr>
      <w:r>
        <w:rPr>
          <w:sz w:val="22"/>
        </w:rPr>
        <w:t xml:space="preserve">The Quantity sold to EPMI by JSC for On Peak hours must be the same all On Peak Hours.  And, the Quantity sold for Off Peak Hours must be the same for all Off Peak Hours.  The On Peak Quantity can be different than the Off Peak Quantity.  Quantities shall be rounded to the nearest 1 MW.   If additional quantities are available for individual hours, EPMI shall attempt to purchase such Quantities on a Day Ahead or Real Time basis, at a mutually acceptable Price. </w:t>
      </w:r>
    </w:p>
    <w:p>
      <w:pPr>
        <w:pStyle w:val="BodyTextIndent"/>
        <w:tabs>
          <w:tab w:val="clear" w:pos="720"/>
        </w:tabs>
        <w:ind w:hanging="0" w:start="0" w:end="0"/>
        <w:rPr>
          <w:sz w:val="22"/>
        </w:rPr>
      </w:pPr>
      <w:r>
        <w:rPr>
          <w:sz w:val="22"/>
        </w:rPr>
      </w:r>
    </w:p>
    <w:p>
      <w:pPr>
        <w:pStyle w:val="BodyTextIndent"/>
        <w:numPr>
          <w:ilvl w:val="0"/>
          <w:numId w:val="2"/>
        </w:numPr>
        <w:ind w:hanging="360" w:start="720" w:end="0"/>
        <w:rPr>
          <w:sz w:val="22"/>
        </w:rPr>
      </w:pPr>
      <w:r>
        <w:rPr>
          <w:sz w:val="22"/>
        </w:rPr>
        <w:t>Delivery point:</w:t>
        <w:tab/>
        <w:t xml:space="preserve">SP-15 unless and until SP-15 is split into multiple zones when the delivery point shall be the zone that contains the interconnection (plant busbar) between JSC and the CAISO.  </w:t>
      </w:r>
    </w:p>
    <w:p>
      <w:pPr>
        <w:pStyle w:val="Normal"/>
        <w:rPr>
          <w:sz w:val="22"/>
        </w:rPr>
      </w:pPr>
      <w:r>
        <w:rPr>
          <w:sz w:val="22"/>
        </w:rPr>
      </w:r>
    </w:p>
    <w:p>
      <w:pPr>
        <w:pStyle w:val="Normal"/>
        <w:numPr>
          <w:ilvl w:val="0"/>
          <w:numId w:val="2"/>
        </w:numPr>
        <w:tabs>
          <w:tab w:val="left" w:pos="720" w:leader="none"/>
          <w:tab w:val="left" w:pos="1080" w:leader="none"/>
        </w:tabs>
        <w:ind w:hanging="360" w:start="720" w:end="0"/>
        <w:rPr>
          <w:sz w:val="22"/>
        </w:rPr>
      </w:pPr>
      <w:r>
        <w:rPr>
          <w:sz w:val="22"/>
        </w:rPr>
        <w:t>Settlements</w:t>
      </w:r>
    </w:p>
    <w:p>
      <w:pPr>
        <w:pStyle w:val="Normal"/>
        <w:numPr>
          <w:ilvl w:val="1"/>
          <w:numId w:val="2"/>
        </w:numPr>
        <w:tabs>
          <w:tab w:val="clear" w:pos="720"/>
          <w:tab w:val="left" w:pos="1080" w:leader="none"/>
        </w:tabs>
        <w:ind w:hanging="360" w:start="1080" w:end="0"/>
        <w:rPr>
          <w:sz w:val="22"/>
        </w:rPr>
      </w:pPr>
      <w:r>
        <w:rPr>
          <w:sz w:val="22"/>
        </w:rPr>
        <w:t xml:space="preserve">EPMI shall maintain an hourly price and volume model indicating the estimated amount owed JSC for energy sold to EPMI as well as energy sold to the CAISO and CDWR.  Such spreadsheet shall be made available to JSC through the EPMI West Homepage or via e-mail.    </w:t>
      </w:r>
    </w:p>
    <w:p>
      <w:pPr>
        <w:pStyle w:val="Normal"/>
        <w:numPr>
          <w:ilvl w:val="1"/>
          <w:numId w:val="2"/>
        </w:numPr>
        <w:tabs>
          <w:tab w:val="clear" w:pos="720"/>
          <w:tab w:val="left" w:pos="1080" w:leader="none"/>
        </w:tabs>
        <w:ind w:hanging="360" w:start="1080" w:end="0"/>
        <w:rPr>
          <w:sz w:val="22"/>
        </w:rPr>
      </w:pPr>
      <w:r>
        <w:rPr>
          <w:sz w:val="22"/>
        </w:rPr>
        <w:t>EPMI shall pay JSC for energy sales to EPMI by the 25</w:t>
      </w:r>
      <w:r>
        <w:rPr>
          <w:sz w:val="22"/>
          <w:vertAlign w:val="superscript"/>
        </w:rPr>
        <w:t>th</w:t>
      </w:r>
      <w:r>
        <w:rPr>
          <w:sz w:val="22"/>
        </w:rPr>
        <w:t xml:space="preserve"> of the Month following the delivery Month.</w:t>
      </w:r>
    </w:p>
    <w:p>
      <w:pPr>
        <w:pStyle w:val="Normal"/>
        <w:numPr>
          <w:ilvl w:val="1"/>
          <w:numId w:val="2"/>
        </w:numPr>
        <w:tabs>
          <w:tab w:val="clear" w:pos="720"/>
          <w:tab w:val="left" w:pos="1080" w:leader="none"/>
        </w:tabs>
        <w:ind w:hanging="360" w:start="1080" w:end="0"/>
        <w:rPr>
          <w:sz w:val="22"/>
        </w:rPr>
      </w:pPr>
      <w:r>
        <w:rPr>
          <w:sz w:val="22"/>
        </w:rPr>
        <w:t>EPMI shall obtain and reconcile CAISO and CDWR settlement statements to EPMI’s models to assure accuracy of such settlement.  To the extent EPMI believes the CAISO has miscalculated the amount due or payable, EPMI shall submit a dispute to the CAISO or CDWR on behalf of JSC with the hope of resolving such amounts due quickly.  To the extent settlement of such dispute requires significant investment of time and resources as determined by EPMI, EPMI shall notify JSC of such and JSC shall determine if it desires to reimburse EPMI for such time and resources to continue the CAISO dispute.</w:t>
      </w:r>
    </w:p>
    <w:p>
      <w:pPr>
        <w:pStyle w:val="Normal"/>
        <w:numPr>
          <w:ilvl w:val="1"/>
          <w:numId w:val="2"/>
        </w:numPr>
        <w:tabs>
          <w:tab w:val="clear" w:pos="720"/>
          <w:tab w:val="left" w:pos="1080" w:leader="none"/>
        </w:tabs>
        <w:ind w:hanging="360" w:start="1080" w:end="0"/>
        <w:rPr>
          <w:sz w:val="22"/>
        </w:rPr>
      </w:pPr>
      <w:r>
        <w:rPr>
          <w:sz w:val="22"/>
        </w:rPr>
        <w:t xml:space="preserve">EPMI shall forward to JSC monies received from the CAISO and CDWR, less applicable scheduling fees, within a reasonable amount of time after receipt of such by EPMI.  </w:t>
      </w:r>
    </w:p>
    <w:p>
      <w:pPr>
        <w:pStyle w:val="FootnoteText"/>
        <w:rPr>
          <w:rFonts w:ascii="Times New Roman" w:hAnsi="Times New Roman" w:cs="Times New Roman"/>
          <w:sz w:val="22"/>
        </w:rPr>
      </w:pPr>
      <w:r>
        <w:rPr>
          <w:rFonts w:cs="Times New Roman" w:ascii="Times New Roman" w:hAnsi="Times New Roman"/>
          <w:sz w:val="22"/>
        </w:rPr>
      </w:r>
    </w:p>
    <w:p>
      <w:pPr>
        <w:pStyle w:val="Heading4"/>
        <w:ind w:hanging="0" w:start="0"/>
        <w:rPr/>
      </w:pPr>
      <w:r>
        <w:rPr/>
        <w:t xml:space="preserve">III. Natural as Supply, Scheduling and Balancing </w:t>
      </w:r>
    </w:p>
    <w:p>
      <w:pPr>
        <w:pStyle w:val="Normal"/>
        <w:rPr/>
      </w:pPr>
      <w:r>
        <w:rPr/>
        <w:tab/>
      </w:r>
    </w:p>
    <w:p>
      <w:pPr>
        <w:pStyle w:val="Normal"/>
        <w:numPr>
          <w:ilvl w:val="0"/>
          <w:numId w:val="7"/>
        </w:numPr>
        <w:rPr>
          <w:sz w:val="22"/>
        </w:rPr>
      </w:pPr>
      <w:r>
        <w:rPr>
          <w:sz w:val="22"/>
        </w:rPr>
        <w:t>Price</w:t>
      </w:r>
    </w:p>
    <w:p>
      <w:pPr>
        <w:pStyle w:val="BodyTextIndent"/>
        <w:numPr>
          <w:ilvl w:val="0"/>
          <w:numId w:val="6"/>
        </w:numPr>
        <w:tabs>
          <w:tab w:val="clear" w:pos="720"/>
          <w:tab w:val="left" w:pos="1080" w:leader="none"/>
        </w:tabs>
        <w:ind w:hanging="360" w:start="1080" w:end="0"/>
        <w:rPr>
          <w:sz w:val="22"/>
        </w:rPr>
      </w:pPr>
      <w:r>
        <w:rPr>
          <w:sz w:val="22"/>
        </w:rPr>
        <w:t>Fixed Price - The Parties can work together to establish a mutually acceptable Fixed Price.  Current Fixed Prices are indicated on the attached spreadsheet.</w:t>
      </w:r>
    </w:p>
    <w:p>
      <w:pPr>
        <w:pStyle w:val="BodyTextIndent"/>
        <w:numPr>
          <w:ilvl w:val="0"/>
          <w:numId w:val="6"/>
        </w:numPr>
        <w:tabs>
          <w:tab w:val="clear" w:pos="720"/>
          <w:tab w:val="left" w:pos="1080" w:leader="none"/>
        </w:tabs>
        <w:ind w:hanging="360" w:start="1080" w:end="0"/>
        <w:rPr>
          <w:sz w:val="22"/>
        </w:rPr>
      </w:pPr>
      <w:r>
        <w:rPr>
          <w:sz w:val="22"/>
          <w:u w:val="single"/>
        </w:rPr>
        <w:t>Natural Gas Intelligence</w:t>
      </w:r>
      <w:r>
        <w:rPr>
          <w:sz w:val="22"/>
        </w:rPr>
        <w:t>, First of the Month Index, SoCal Border, plus $.10/MMBtu (</w:t>
      </w:r>
      <w:r>
        <w:rPr>
          <w:sz w:val="22"/>
          <w:u w:val="single"/>
        </w:rPr>
        <w:t>NGI</w:t>
      </w:r>
      <w:r>
        <w:rPr>
          <w:sz w:val="22"/>
        </w:rPr>
        <w:t xml:space="preserve"> Pricing).</w:t>
      </w:r>
    </w:p>
    <w:p>
      <w:pPr>
        <w:pStyle w:val="BodyTextIndent"/>
        <w:numPr>
          <w:ilvl w:val="0"/>
          <w:numId w:val="6"/>
        </w:numPr>
        <w:tabs>
          <w:tab w:val="clear" w:pos="720"/>
          <w:tab w:val="left" w:pos="1080" w:leader="none"/>
        </w:tabs>
        <w:ind w:hanging="360" w:start="1080" w:end="0"/>
        <w:rPr>
          <w:sz w:val="22"/>
        </w:rPr>
      </w:pPr>
      <w:r>
        <w:rPr>
          <w:sz w:val="22"/>
          <w:u w:val="single"/>
        </w:rPr>
        <w:t>Gas Daily</w:t>
      </w:r>
      <w:r>
        <w:rPr>
          <w:sz w:val="22"/>
        </w:rPr>
        <w:t xml:space="preserve"> Midpoint of the Range for SoCalGas Large Packages, plus $.10/MMBtu (</w:t>
      </w:r>
      <w:r>
        <w:rPr>
          <w:sz w:val="22"/>
          <w:u w:val="single"/>
        </w:rPr>
        <w:t>Gas Daily</w:t>
      </w:r>
      <w:r>
        <w:rPr>
          <w:sz w:val="22"/>
        </w:rPr>
        <w:t xml:space="preserve"> Pricing).  </w:t>
      </w:r>
    </w:p>
    <w:p>
      <w:pPr>
        <w:pStyle w:val="Normal"/>
        <w:ind w:hanging="360" w:start="1080" w:end="0"/>
        <w:rPr>
          <w:sz w:val="22"/>
        </w:rPr>
      </w:pPr>
      <w:r>
        <w:rPr>
          <w:sz w:val="22"/>
        </w:rPr>
      </w:r>
    </w:p>
    <w:p>
      <w:pPr>
        <w:pStyle w:val="Normal"/>
        <w:numPr>
          <w:ilvl w:val="0"/>
          <w:numId w:val="7"/>
        </w:numPr>
        <w:rPr>
          <w:sz w:val="22"/>
        </w:rPr>
      </w:pPr>
      <w:r>
        <w:rPr>
          <w:sz w:val="22"/>
        </w:rPr>
        <w:t>Quantity</w:t>
      </w:r>
    </w:p>
    <w:p>
      <w:pPr>
        <w:pStyle w:val="Normal"/>
        <w:numPr>
          <w:ilvl w:val="1"/>
          <w:numId w:val="7"/>
        </w:numPr>
        <w:tabs>
          <w:tab w:val="clear" w:pos="720"/>
          <w:tab w:val="left" w:pos="1080" w:leader="none"/>
        </w:tabs>
        <w:ind w:hanging="720" w:start="1440" w:end="0"/>
        <w:rPr>
          <w:sz w:val="22"/>
        </w:rPr>
      </w:pPr>
      <w:r>
        <w:rPr>
          <w:sz w:val="22"/>
        </w:rPr>
        <w:t xml:space="preserve">Daily Scheduled Quantity (DSQ) is the amount scheduled for delivery each day.  </w:t>
      </w:r>
    </w:p>
    <w:p>
      <w:pPr>
        <w:pStyle w:val="Normal"/>
        <w:numPr>
          <w:ilvl w:val="1"/>
          <w:numId w:val="7"/>
        </w:numPr>
        <w:tabs>
          <w:tab w:val="clear" w:pos="720"/>
          <w:tab w:val="left" w:pos="1080" w:leader="none"/>
        </w:tabs>
        <w:ind w:hanging="360" w:start="1080" w:end="0"/>
        <w:rPr>
          <w:sz w:val="22"/>
        </w:rPr>
      </w:pPr>
      <w:r>
        <w:rPr>
          <w:sz w:val="22"/>
        </w:rPr>
        <w:t>The Daily Consumption Quantity (DCQ) is the amount consumed by JSC each day as measured by Southern California Gas Company (SoCalGas).  The Monthly Scheduled Quantity (MSQ) shall be the sum of the DSQs for the month.  The Monthly Consumption Quantity (MCQ) shall be the sum of the DCQs for the month.</w:t>
      </w:r>
    </w:p>
    <w:p>
      <w:pPr>
        <w:pStyle w:val="Normal"/>
        <w:numPr>
          <w:ilvl w:val="1"/>
          <w:numId w:val="7"/>
        </w:numPr>
        <w:tabs>
          <w:tab w:val="clear" w:pos="720"/>
          <w:tab w:val="left" w:pos="1080" w:leader="none"/>
        </w:tabs>
        <w:ind w:hanging="360" w:start="1080" w:end="0"/>
        <w:rPr>
          <w:sz w:val="22"/>
        </w:rPr>
      </w:pPr>
      <w:r>
        <w:rPr>
          <w:sz w:val="22"/>
        </w:rPr>
        <w:t xml:space="preserve">Schedules for </w:t>
      </w:r>
      <w:r>
        <w:rPr>
          <w:sz w:val="22"/>
          <w:u w:val="single"/>
        </w:rPr>
        <w:t>NGI</w:t>
      </w:r>
      <w:r>
        <w:rPr>
          <w:sz w:val="22"/>
        </w:rPr>
        <w:t xml:space="preserve"> Pricing due prior to the start of the month during Bid Week.</w:t>
      </w:r>
    </w:p>
    <w:p>
      <w:pPr>
        <w:pStyle w:val="Normal"/>
        <w:numPr>
          <w:ilvl w:val="1"/>
          <w:numId w:val="7"/>
        </w:numPr>
        <w:tabs>
          <w:tab w:val="clear" w:pos="720"/>
          <w:tab w:val="left" w:pos="1080" w:leader="none"/>
        </w:tabs>
        <w:ind w:hanging="360" w:start="1080" w:end="0"/>
        <w:rPr>
          <w:sz w:val="22"/>
        </w:rPr>
      </w:pPr>
      <w:r>
        <w:rPr>
          <w:sz w:val="22"/>
        </w:rPr>
        <w:t>Schedules for Gas Daily Pricing due as follows.  Nominations for Tuesday–Friday for weeks without a holiday must be made by 8:30 a.m. Central Prevailing Time the Day prior to the delivery day.  Nominations for Saturday–Monday for non-holiday weekends must be received by 8:30 a.m. Central Prevailing Time Friday morning and quantity must be the same for all three days.  Nominations for Saturday–Tuesday for holiday weekends where the holiday falls on a Monday must be received by 8:30 a.m. Central Prevailing Time Friday and quantity must be the same for all four days.  Nominations for the two days during the week when a business day is followed by a holiday must be received by 8:30 a.m. Central Prevailing Time on the business day prior to the holiday and quantity must be the same for both days.  Seller shall not be obligated to supply gas to buyer if nominations are received after 8:30 a.m. Central Prevailing Time.  Transactions will take place on a mutually acceptable basis and will be priced at market prices at that time.</w:t>
      </w:r>
    </w:p>
    <w:p>
      <w:pPr>
        <w:pStyle w:val="Normal"/>
        <w:rPr>
          <w:sz w:val="22"/>
        </w:rPr>
      </w:pPr>
      <w:r>
        <w:rPr>
          <w:sz w:val="22"/>
        </w:rPr>
      </w:r>
    </w:p>
    <w:p>
      <w:pPr>
        <w:pStyle w:val="Normal"/>
        <w:ind w:hanging="360" w:start="720" w:end="0"/>
        <w:rPr>
          <w:sz w:val="22"/>
        </w:rPr>
      </w:pPr>
      <w:r>
        <w:rPr>
          <w:sz w:val="22"/>
        </w:rPr>
        <w:t>C.</w:t>
        <w:tab/>
        <w:t>Delivery Point:</w:t>
        <w:tab/>
        <w:t>SoCalGas System</w:t>
      </w:r>
    </w:p>
    <w:p>
      <w:pPr>
        <w:pStyle w:val="Normal"/>
        <w:ind w:hanging="360" w:start="720" w:end="0"/>
        <w:rPr>
          <w:sz w:val="22"/>
        </w:rPr>
      </w:pPr>
      <w:r>
        <w:rPr>
          <w:sz w:val="22"/>
        </w:rPr>
      </w:r>
    </w:p>
    <w:p>
      <w:pPr>
        <w:pStyle w:val="BodyTextIndent"/>
        <w:numPr>
          <w:ilvl w:val="0"/>
          <w:numId w:val="7"/>
        </w:numPr>
        <w:ind w:hanging="360" w:start="720" w:end="346"/>
        <w:rPr>
          <w:sz w:val="22"/>
        </w:rPr>
      </w:pPr>
      <w:r>
        <w:rPr>
          <w:sz w:val="22"/>
        </w:rPr>
        <w:t xml:space="preserve">Imbalance Management:  </w:t>
      </w:r>
    </w:p>
    <w:p>
      <w:pPr>
        <w:pStyle w:val="BodyTextIndent"/>
        <w:numPr>
          <w:ilvl w:val="1"/>
          <w:numId w:val="7"/>
        </w:numPr>
        <w:ind w:hanging="360" w:start="1440" w:end="346"/>
        <w:rPr>
          <w:b/>
          <w:bCs/>
          <w:sz w:val="22"/>
        </w:rPr>
      </w:pPr>
      <w:r>
        <w:rPr>
          <w:sz w:val="22"/>
        </w:rPr>
        <w:t xml:space="preserve">ENA shall act as Authorized Marketer for JSC.  </w:t>
      </w:r>
    </w:p>
    <w:p>
      <w:pPr>
        <w:pStyle w:val="BodyTextIndent"/>
        <w:numPr>
          <w:ilvl w:val="1"/>
          <w:numId w:val="7"/>
        </w:numPr>
        <w:ind w:hanging="360" w:start="1440" w:end="346"/>
        <w:rPr>
          <w:b/>
          <w:bCs/>
          <w:sz w:val="22"/>
        </w:rPr>
      </w:pPr>
      <w:r>
        <w:rPr>
          <w:sz w:val="22"/>
        </w:rPr>
        <w:t xml:space="preserve">If Imbalance Charges are not incurred, EPMI will purchase the volume by which the MSQ exceeds the MCQ at the average of the 5 highest days </w:t>
      </w:r>
      <w:r>
        <w:rPr>
          <w:sz w:val="22"/>
          <w:u w:val="single"/>
        </w:rPr>
        <w:t>Gas Daily</w:t>
      </w:r>
      <w:r>
        <w:rPr>
          <w:sz w:val="22"/>
        </w:rPr>
        <w:t xml:space="preserve"> Mid-Point, plus $.10/MMBtu and sell the volume by which the MSQ is less than the MCQ at the average of the 5 lowest days </w:t>
      </w:r>
      <w:r>
        <w:rPr>
          <w:sz w:val="22"/>
          <w:u w:val="single"/>
        </w:rPr>
        <w:t>Gas Daily</w:t>
      </w:r>
      <w:r>
        <w:rPr>
          <w:sz w:val="22"/>
        </w:rPr>
        <w:t xml:space="preserve"> Mid-Point, less $.10/MMBtu.  </w:t>
      </w:r>
    </w:p>
    <w:p>
      <w:pPr>
        <w:pStyle w:val="BodyTextIndent"/>
        <w:numPr>
          <w:ilvl w:val="1"/>
          <w:numId w:val="7"/>
        </w:numPr>
        <w:ind w:hanging="360" w:start="1440" w:end="346"/>
        <w:rPr>
          <w:b/>
          <w:bCs/>
          <w:sz w:val="22"/>
        </w:rPr>
      </w:pPr>
      <w:r>
        <w:rPr>
          <w:sz w:val="22"/>
        </w:rPr>
        <w:t xml:space="preserve">Remarketing Cost:  In the event of a SoCalGas overpressurization event, JSC can request ENA to remarket any Gas scheduled.  In this case, ENA shall use commercially reasonable efforts, subject to the scheduling deadlines of the transporting pipelines, to remarket such supply and JSC shall be responsible for any losses incurred as a result of the remarketing price being lower than the Base Price for scheduled volumes.  For example, if EPMI intended to deliver if the overpressurization event is Sunday, and EPMI loses $1.00/MMBtu reselling gas supply that had been intended for JSC, but gas is delivered on Saturday and Monday, the price for these days shall be adjusted upward top recoup this $1.00/MMBtu loss on Sunday.  </w:t>
      </w:r>
    </w:p>
    <w:p>
      <w:pPr>
        <w:pStyle w:val="Normal"/>
        <w:ind w:start="1080" w:end="0"/>
        <w:rPr>
          <w:b/>
          <w:bCs/>
          <w:sz w:val="22"/>
        </w:rPr>
      </w:pPr>
      <w:r>
        <w:rPr>
          <w:b/>
          <w:bCs/>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/mnt/main-storage/datasets/enron-docs/doc/Term_Sheet-907afdff3ab412818e988b7516d9a18e3ec5752a9404c2ed41c74ebc4907353d.doc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2"/>
      </w:rPr>
    </w:pPr>
    <w:r>
      <w:rPr/>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upperLetter"/>
      <w:lvlText w:val="%1."/>
      <w:lvlJc w:val="start"/>
      <w:pPr>
        <w:tabs>
          <w:tab w:val="num" w:pos="2160"/>
        </w:tabs>
        <w:ind w:start="2160" w:hanging="1440"/>
      </w:pPr>
      <w:rPr/>
    </w:lvl>
    <w:lvl w:ilvl="1">
      <w:start w:val="1"/>
      <w:numFmt w:val="decimal"/>
      <w:lvlText w:val="%2."/>
      <w:lvlJc w:val="start"/>
      <w:pPr>
        <w:tabs>
          <w:tab w:val="num" w:pos="1440"/>
        </w:tabs>
        <w:ind w:start="360" w:firstLine="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upperLetter"/>
      <w:lvlText w:val="%1."/>
      <w:lvlJc w:val="start"/>
      <w:pPr>
        <w:tabs>
          <w:tab w:val="num" w:pos="1440"/>
        </w:tabs>
        <w:ind w:start="1440" w:hanging="720"/>
      </w:pPr>
      <w:rPr/>
    </w:lvl>
    <w:lvl w:ilvl="1">
      <w:start w:val="1"/>
      <w:numFmt w:val="decimal"/>
      <w:lvlText w:val="%2."/>
      <w:lvlJc w:val="start"/>
      <w:pPr>
        <w:tabs>
          <w:tab w:val="num" w:pos="1800"/>
        </w:tabs>
        <w:ind w:start="720" w:firstLine="720"/>
      </w:pPr>
      <w:rPr/>
    </w:lvl>
    <w:lvl w:ilvl="2">
      <w:start w:val="1"/>
      <w:numFmt w:val="lowerRoman"/>
      <w:lvlText w:val="%3."/>
      <w:lvlJc w:val="end"/>
      <w:pPr>
        <w:tabs>
          <w:tab w:val="num" w:pos="2520"/>
        </w:tabs>
        <w:ind w:start="2520" w:hanging="180"/>
      </w:pPr>
    </w:lvl>
    <w:lvl w:ilvl="3">
      <w:start w:val="1"/>
      <w:numFmt w:val="lowerLetter"/>
      <w:lvlText w:val="%4."/>
      <w:lvlJc w:val="start"/>
      <w:pPr>
        <w:tabs>
          <w:tab w:val="num" w:pos="3600"/>
        </w:tabs>
        <w:ind w:start="3600" w:hanging="720"/>
      </w:pPr>
      <w:r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decimal"/>
      <w:lvlText w:val="%1."/>
      <w:lvlJc w:val="start"/>
      <w:pPr>
        <w:tabs>
          <w:tab w:val="num" w:pos="1800"/>
        </w:tabs>
        <w:ind w:start="1800" w:hanging="360"/>
      </w:pPr>
      <w:rPr/>
    </w:lvl>
  </w:abstractNum>
  <w:abstractNum w:abstractNumId="5">
    <w:lvl w:ilvl="0">
      <w:start w:val="1"/>
      <w:numFmt w:val="upperRoman"/>
      <w:lvlText w:val="%1."/>
      <w:lvlJc w:val="start"/>
      <w:pPr>
        <w:tabs>
          <w:tab w:val="num" w:pos="720"/>
        </w:tabs>
        <w:ind w:start="720" w:hanging="720"/>
      </w:pPr>
      <w:r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upperLetter"/>
      <w:lvlText w:val="%1."/>
      <w:lvlJc w:val="start"/>
      <w:pPr>
        <w:tabs>
          <w:tab w:val="num" w:pos="720"/>
        </w:tabs>
        <w:ind w:start="720" w:hanging="360"/>
      </w:pPr>
      <w:rPr/>
    </w:lvl>
    <w:lvl w:ilvl="1">
      <w:start w:val="1"/>
      <w:numFmt w:val="decimal"/>
      <w:lvlText w:val="%2."/>
      <w:lvlJc w:val="start"/>
      <w:pPr>
        <w:tabs>
          <w:tab w:val="num" w:pos="720"/>
        </w:tabs>
        <w:ind w:start="1440" w:hanging="360"/>
      </w:pPr>
      <w:rPr>
        <w:i w:val="false"/>
        <w:b w:val="false"/>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decimal"/>
      <w:lvlText w:val="%1."/>
      <w:lvlJc w:val="start"/>
      <w:pPr>
        <w:tabs>
          <w:tab w:val="num" w:pos="1440"/>
        </w:tabs>
        <w:ind w:start="360" w:firstLine="720"/>
      </w:pPr>
      <w:rPr/>
    </w:lvl>
  </w:abstractNum>
  <w:abstractNum w:abstractNumId="11">
    <w:lvl w:ilvl="0">
      <w:start w:val="1"/>
      <w:numFmt w:val="upperLetter"/>
      <w:lvlText w:val="%1."/>
      <w:lvlJc w:val="start"/>
      <w:pPr>
        <w:tabs>
          <w:tab w:val="num" w:pos="1800"/>
        </w:tabs>
        <w:ind w:start="1800" w:hanging="144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4"/>
      <w:numFmt w:val="upperLetter"/>
      <w:lvlText w:val="%1."/>
      <w:lvlJc w:val="start"/>
      <w:pPr>
        <w:tabs>
          <w:tab w:val="num" w:pos="72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ind w:hanging="360" w:start="360" w:end="0"/>
      <w:outlineLvl w:val="2"/>
    </w:pPr>
    <w:rPr>
      <w:b/>
      <w:bCs/>
      <w:sz w:val="22"/>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firstLine="720" w:start="2160" w:end="0"/>
      <w:outlineLvl w:val="4"/>
    </w:pPr>
    <w:rPr>
      <w:rFonts w:ascii="Courier" w:hAnsi="Courier" w:cs="Courier"/>
      <w:b/>
    </w:rPr>
  </w:style>
  <w:style w:type="paragraph" w:styleId="Heading6">
    <w:name w:val="heading 6"/>
    <w:basedOn w:val="Normal"/>
    <w:next w:val="Normal"/>
    <w:qFormat/>
    <w:pPr>
      <w:keepNext w:val="true"/>
      <w:numPr>
        <w:ilvl w:val="5"/>
        <w:numId w:val="1"/>
      </w:numPr>
      <w:ind w:hanging="720" w:start="720" w:end="0"/>
      <w:outlineLvl w:val="5"/>
    </w:pPr>
    <w:rPr>
      <w:b/>
      <w:bCs/>
      <w:sz w:val="22"/>
    </w:rPr>
  </w:style>
  <w:style w:type="paragraph" w:styleId="Heading8">
    <w:name w:val="heading 8"/>
    <w:basedOn w:val="Normal"/>
    <w:next w:val="Normal"/>
    <w:qFormat/>
    <w:pPr>
      <w:keepNext w:val="true"/>
      <w:numPr>
        <w:ilvl w:val="0"/>
        <w:numId w:val="5"/>
      </w:numPr>
      <w:tabs>
        <w:tab w:val="clear" w:pos="720"/>
        <w:tab w:val="left" w:pos="360" w:leader="none"/>
      </w:tabs>
      <w:ind w:hanging="360" w:start="360" w:end="0"/>
      <w:outlineLvl w:val="7"/>
    </w:pPr>
    <w:rPr>
      <w:b/>
    </w:rPr>
  </w:style>
  <w:style w:type="paragraph" w:styleId="Heading9">
    <w:name w:val="heading 9"/>
    <w:basedOn w:val="Normal"/>
    <w:next w:val="Normal"/>
    <w:qFormat/>
    <w:pPr>
      <w:keepNext w:val="true"/>
      <w:numPr>
        <w:ilvl w:val="8"/>
        <w:numId w:val="1"/>
      </w:numPr>
      <w:ind w:hanging="2160" w:start="2160" w:end="0"/>
      <w:jc w:val="both"/>
      <w:outlineLvl w:val="8"/>
    </w:pPr>
    <w:rPr>
      <w:b/>
      <w:sz w:val="24"/>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19z1">
    <w:name w:val="WW8Num19z1"/>
    <w:qFormat/>
    <w:rPr>
      <w:b w:val="false"/>
      <w:i w:val="false"/>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1440" w:end="0"/>
    </w:pPr>
    <w:rPr>
      <w:sz w:val="24"/>
    </w:rPr>
  </w:style>
  <w:style w:type="paragraph" w:styleId="BodyTextIndent3">
    <w:name w:val="Body Text Indent 3"/>
    <w:basedOn w:val="Normal"/>
    <w:qFormat/>
    <w:pPr>
      <w:ind w:hanging="0" w:start="1440" w:end="0"/>
    </w:pPr>
    <w:rPr>
      <w:i/>
      <w:sz w:val="24"/>
    </w:rPr>
  </w:style>
  <w:style w:type="paragraph" w:styleId="BodyTextIndent">
    <w:name w:val="Body Text Indent"/>
    <w:basedOn w:val="Normal"/>
    <w:pPr>
      <w:tabs>
        <w:tab w:val="left" w:pos="720" w:leader="none"/>
      </w:tabs>
      <w:ind w:hanging="360" w:start="720" w:end="0"/>
    </w:pPr>
    <w:rPr>
      <w:sz w:val="24"/>
    </w:rPr>
  </w:style>
  <w:style w:type="paragraph" w:styleId="FootnoteText">
    <w:name w:val="footnote text"/>
    <w:basedOn w:val="Normal"/>
    <w:pPr/>
    <w:rPr>
      <w:rFonts w:ascii="Courier" w:hAnsi="Courier" w:cs="Courier"/>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s>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2001-07-20T14:41:00Z</dcterms:created>
  <dc:creator>EW/LN/CB</dc:creator>
  <dc:description/>
  <cp:keywords>Ethan</cp:keywords>
  <dc:language>en-CA</dc:language>
  <cp:lastModifiedBy>cfoster</cp:lastModifiedBy>
  <cp:lastPrinted>2001-07-20T10:34:00Z</cp:lastPrinted>
  <dcterms:modified xsi:type="dcterms:W3CDTF">2001-07-24T17:08:00Z</dcterms:modified>
  <cp:revision>7</cp:revision>
  <dc:subject/>
  <dc:title>Ethan Frome</dc:title>
</cp:coreProperties>
</file>