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990" w:leader="none"/>
          <w:tab w:val="left" w:pos="5760" w:leader="none"/>
        </w:tabs>
        <w:jc w:val="both"/>
        <w:rPr/>
      </w:pPr>
      <w:r>
        <w:rPr/>
        <w:tab/>
        <w:tab/>
      </w:r>
      <w:r>
        <w:rPr>
          <w:b/>
        </w:rPr>
        <w:t>Enron Power Marketing, Inc.</w:t>
      </w:r>
    </w:p>
    <w:p>
      <w:pPr>
        <w:pStyle w:val="Normal"/>
        <w:tabs>
          <w:tab w:val="clear" w:pos="720"/>
          <w:tab w:val="left" w:pos="990" w:leader="none"/>
          <w:tab w:val="left" w:pos="5760" w:leader="none"/>
        </w:tabs>
        <w:jc w:val="both"/>
        <w:rPr/>
      </w:pPr>
      <w:r>
        <w:rPr>
          <w:b/>
        </w:rPr>
        <w:tab/>
        <w:tab/>
      </w:r>
      <w:r>
        <w:rPr/>
        <w:t>P.O. Box 4428</w:t>
      </w:r>
    </w:p>
    <w:p>
      <w:pPr>
        <w:pStyle w:val="Normal"/>
        <w:tabs>
          <w:tab w:val="clear" w:pos="720"/>
          <w:tab w:val="left" w:pos="990" w:leader="none"/>
          <w:tab w:val="left" w:pos="5760" w:leader="none"/>
        </w:tabs>
        <w:jc w:val="both"/>
        <w:rPr/>
      </w:pPr>
      <w:r>
        <w:rPr/>
        <w:tab/>
        <w:tab/>
        <w:t>Houston, Texas 77210</w:t>
      </w:r>
    </w:p>
    <w:p>
      <w:pPr>
        <w:pStyle w:val="Normal"/>
        <w:tabs>
          <w:tab w:val="clear" w:pos="720"/>
          <w:tab w:val="left" w:pos="990" w:leader="none"/>
          <w:tab w:val="left" w:pos="5760" w:leader="none"/>
        </w:tabs>
        <w:jc w:val="both"/>
        <w:rPr/>
      </w:pPr>
      <w:r>
        <w:rPr/>
        <w:tab/>
        <w:tab/>
      </w:r>
    </w:p>
    <w:p>
      <w:pPr>
        <w:pStyle w:val="Normal"/>
        <w:tabs>
          <w:tab w:val="clear" w:pos="720"/>
          <w:tab w:val="left" w:pos="990" w:leader="none"/>
          <w:tab w:val="left" w:pos="5760" w:leader="none"/>
        </w:tabs>
        <w:jc w:val="both"/>
        <w:rPr/>
      </w:pPr>
      <w:r>
        <w:rPr/>
      </w:r>
    </w:p>
    <w:p>
      <w:pPr>
        <w:pStyle w:val="Normal"/>
        <w:tabs>
          <w:tab w:val="clear" w:pos="720"/>
          <w:tab w:val="left" w:pos="990" w:leader="none"/>
          <w:tab w:val="left" w:pos="5760" w:leader="none"/>
        </w:tabs>
        <w:jc w:val="both"/>
        <w:rPr/>
      </w:pPr>
      <w:r>
        <w:rPr/>
        <w:t>VIA FACSIMILE</w:t>
      </w:r>
    </w:p>
    <w:p>
      <w:pPr>
        <w:pStyle w:val="Normal"/>
        <w:tabs>
          <w:tab w:val="clear" w:pos="720"/>
          <w:tab w:val="left" w:pos="990" w:leader="none"/>
          <w:tab w:val="left" w:pos="5760" w:leader="none"/>
        </w:tabs>
        <w:jc w:val="both"/>
        <w:rPr/>
      </w:pPr>
      <w:r>
        <w:rPr/>
        <w:t>(415) 973-9176</w:t>
      </w:r>
    </w:p>
    <w:p>
      <w:pPr>
        <w:pStyle w:val="Normal"/>
        <w:tabs>
          <w:tab w:val="clear" w:pos="720"/>
          <w:tab w:val="left" w:pos="990" w:leader="none"/>
          <w:tab w:val="left" w:pos="5760" w:leader="none"/>
        </w:tabs>
        <w:jc w:val="end"/>
        <w:rPr/>
      </w:pPr>
      <w:r>
        <w:rPr/>
        <w:t>April 9, 2001</w:t>
      </w:r>
    </w:p>
    <w:p>
      <w:pPr>
        <w:pStyle w:val="Normal"/>
        <w:tabs>
          <w:tab w:val="clear" w:pos="720"/>
          <w:tab w:val="left" w:pos="990" w:leader="none"/>
          <w:tab w:val="left" w:pos="5760" w:leader="none"/>
        </w:tabs>
        <w:jc w:val="both"/>
        <w:rPr/>
      </w:pPr>
      <w:r>
        <w:rPr/>
      </w:r>
    </w:p>
    <w:p>
      <w:pPr>
        <w:pStyle w:val="Normal"/>
        <w:tabs>
          <w:tab w:val="clear" w:pos="720"/>
          <w:tab w:val="left" w:pos="990" w:leader="none"/>
          <w:tab w:val="left" w:pos="5760" w:leader="none"/>
        </w:tabs>
        <w:jc w:val="both"/>
        <w:rPr/>
      </w:pPr>
      <w:r>
        <w:rPr/>
      </w:r>
    </w:p>
    <w:p>
      <w:pPr>
        <w:pStyle w:val="Normal"/>
        <w:tabs>
          <w:tab w:val="clear" w:pos="720"/>
          <w:tab w:val="left" w:pos="990" w:leader="none"/>
          <w:tab w:val="left" w:pos="5760" w:leader="none"/>
        </w:tabs>
        <w:jc w:val="both"/>
        <w:rPr/>
      </w:pPr>
      <w:r>
        <w:rPr/>
        <w:t>Pacific Gas &amp; Electric Company</w:t>
      </w:r>
    </w:p>
    <w:p>
      <w:pPr>
        <w:pStyle w:val="Normal"/>
        <w:tabs>
          <w:tab w:val="clear" w:pos="720"/>
          <w:tab w:val="left" w:pos="990" w:leader="none"/>
          <w:tab w:val="left" w:pos="5760" w:leader="none"/>
        </w:tabs>
        <w:jc w:val="both"/>
        <w:rPr/>
      </w:pPr>
      <w:r>
        <w:rPr/>
        <w:t>77 Beale Street</w:t>
      </w:r>
    </w:p>
    <w:p>
      <w:pPr>
        <w:pStyle w:val="Normal"/>
        <w:tabs>
          <w:tab w:val="clear" w:pos="720"/>
          <w:tab w:val="left" w:pos="990" w:leader="none"/>
          <w:tab w:val="left" w:pos="5760" w:leader="none"/>
        </w:tabs>
        <w:jc w:val="both"/>
        <w:rPr/>
      </w:pPr>
      <w:r>
        <w:rPr/>
        <w:t>San Francisco, CA  94177</w:t>
      </w:r>
    </w:p>
    <w:p>
      <w:pPr>
        <w:pStyle w:val="Normal"/>
        <w:tabs>
          <w:tab w:val="clear" w:pos="720"/>
          <w:tab w:val="left" w:pos="990" w:leader="none"/>
          <w:tab w:val="left" w:pos="5760" w:leader="none"/>
        </w:tabs>
        <w:jc w:val="both"/>
        <w:rPr/>
      </w:pPr>
      <w:r>
        <w:rPr/>
      </w:r>
    </w:p>
    <w:p>
      <w:pPr>
        <w:pStyle w:val="Normal"/>
        <w:tabs>
          <w:tab w:val="clear" w:pos="720"/>
          <w:tab w:val="left" w:pos="990" w:leader="none"/>
          <w:tab w:val="left" w:pos="5760" w:leader="none"/>
        </w:tabs>
        <w:jc w:val="both"/>
        <w:rPr/>
      </w:pPr>
      <w:r>
        <w:rPr/>
        <w:t>Attention:  Mr. Joseph C. Henri</w:t>
      </w:r>
    </w:p>
    <w:p>
      <w:pPr>
        <w:pStyle w:val="Normal"/>
        <w:tabs>
          <w:tab w:val="clear" w:pos="720"/>
          <w:tab w:val="left" w:pos="990" w:leader="none"/>
          <w:tab w:val="left" w:pos="5760" w:leader="none"/>
        </w:tabs>
        <w:jc w:val="both"/>
        <w:rPr/>
      </w:pPr>
      <w:r>
        <w:rPr/>
      </w:r>
    </w:p>
    <w:p>
      <w:pPr>
        <w:pStyle w:val="Normal"/>
        <w:tabs>
          <w:tab w:val="clear" w:pos="720"/>
          <w:tab w:val="left" w:pos="990" w:leader="none"/>
          <w:tab w:val="left" w:pos="5760" w:leader="none"/>
        </w:tabs>
        <w:ind w:start="720" w:end="0"/>
        <w:jc w:val="both"/>
        <w:rPr/>
      </w:pPr>
      <w:r>
        <w:rPr/>
        <w:t>Re: Master Power Purchase and Sale Agreement between Pacific Gas &amp; Electric Company ("PG&amp;E") and Enron Power Marketing, Inc. ("EPMI") dated as of  October 9, 2000 (the "Master Agreement").</w:t>
      </w:r>
    </w:p>
    <w:p>
      <w:pPr>
        <w:pStyle w:val="Normal"/>
        <w:tabs>
          <w:tab w:val="clear" w:pos="720"/>
          <w:tab w:val="left" w:pos="990" w:leader="none"/>
          <w:tab w:val="left" w:pos="5760" w:leader="none"/>
        </w:tabs>
        <w:jc w:val="both"/>
        <w:rPr/>
      </w:pPr>
      <w:r>
        <w:rPr/>
      </w:r>
    </w:p>
    <w:p>
      <w:pPr>
        <w:pStyle w:val="Normal"/>
        <w:tabs>
          <w:tab w:val="clear" w:pos="720"/>
          <w:tab w:val="left" w:pos="990" w:leader="none"/>
          <w:tab w:val="left" w:pos="5760" w:leader="none"/>
        </w:tabs>
        <w:jc w:val="both"/>
        <w:rPr/>
      </w:pPr>
      <w:r>
        <w:rPr/>
        <w:t xml:space="preserve">Dear Mr. Henri: </w:t>
      </w:r>
    </w:p>
    <w:p>
      <w:pPr>
        <w:pStyle w:val="Normal"/>
        <w:tabs>
          <w:tab w:val="clear" w:pos="720"/>
          <w:tab w:val="left" w:pos="990" w:leader="none"/>
          <w:tab w:val="left" w:pos="5760" w:leader="none"/>
        </w:tabs>
        <w:jc w:val="both"/>
        <w:rPr/>
      </w:pPr>
      <w:r>
        <w:rPr/>
      </w:r>
    </w:p>
    <w:p>
      <w:pPr>
        <w:pStyle w:val="BodyText"/>
        <w:rPr/>
      </w:pPr>
      <w:r>
        <w:rPr/>
        <w:tab/>
        <w:t>We are aware that PG&amp;E has filed a voluntary Chapter 11 petition under Title 11 of the United States Code (the "Bankruptcy Code") on April 6, 2001 in the United States Bankruptcy Court for the Northern District of California, San Francisco Division (No. 01-30923).  This letter constitutes notice to you of the following:</w:t>
      </w:r>
    </w:p>
    <w:p>
      <w:pPr>
        <w:pStyle w:val="Normal"/>
        <w:tabs>
          <w:tab w:val="clear" w:pos="720"/>
          <w:tab w:val="left" w:pos="990" w:leader="none"/>
          <w:tab w:val="left" w:pos="5760" w:leader="none"/>
        </w:tabs>
        <w:jc w:val="both"/>
        <w:rPr/>
      </w:pPr>
      <w:r>
        <w:rPr/>
        <w:tab/>
      </w:r>
    </w:p>
    <w:p>
      <w:pPr>
        <w:pStyle w:val="Normal"/>
        <w:tabs>
          <w:tab w:val="left" w:pos="720" w:leader="none"/>
          <w:tab w:val="left" w:pos="1440" w:leader="none"/>
          <w:tab w:val="left" w:pos="1800" w:leader="none"/>
          <w:tab w:val="left" w:pos="5760" w:leader="none"/>
        </w:tabs>
        <w:ind w:hanging="1800" w:start="1800" w:end="0"/>
        <w:jc w:val="both"/>
        <w:rPr/>
      </w:pPr>
      <w:r>
        <w:rPr/>
        <w:tab/>
        <w:tab/>
        <w:t>(a)  the above referenced filing constitutes an Event of Default pursuant to Section 5.1 of the Master Agreement; and</w:t>
      </w:r>
    </w:p>
    <w:p>
      <w:pPr>
        <w:pStyle w:val="Normal"/>
        <w:tabs>
          <w:tab w:val="clear" w:pos="720"/>
          <w:tab w:val="left" w:pos="990" w:leader="none"/>
          <w:tab w:val="left" w:pos="5760" w:leader="none"/>
        </w:tabs>
        <w:jc w:val="both"/>
        <w:rPr/>
      </w:pPr>
      <w:r>
        <w:rPr/>
      </w:r>
    </w:p>
    <w:p>
      <w:pPr>
        <w:pStyle w:val="Normal"/>
        <w:tabs>
          <w:tab w:val="left" w:pos="720" w:leader="none"/>
          <w:tab w:val="left" w:pos="1440" w:leader="none"/>
          <w:tab w:val="left" w:pos="1800" w:leader="none"/>
          <w:tab w:val="left" w:pos="5760" w:leader="none"/>
        </w:tabs>
        <w:ind w:hanging="1800" w:start="1800" w:end="0"/>
        <w:jc w:val="both"/>
        <w:rPr/>
      </w:pPr>
      <w:r>
        <w:rPr/>
        <w:tab/>
        <w:tab/>
        <w:t xml:space="preserve">(b)  EPMI hereby designates April 9, 2001 as an Early Termination Date pursuant to Section 5.2 of the Master Agreement as to all transactions under the Master Agreement.  </w:t>
      </w:r>
    </w:p>
    <w:p>
      <w:pPr>
        <w:pStyle w:val="Normal"/>
        <w:tabs>
          <w:tab w:val="clear" w:pos="720"/>
          <w:tab w:val="left" w:pos="990" w:leader="none"/>
          <w:tab w:val="left" w:pos="5760" w:leader="none"/>
        </w:tabs>
        <w:jc w:val="both"/>
        <w:rPr/>
      </w:pPr>
      <w:r>
        <w:rPr/>
      </w:r>
    </w:p>
    <w:p>
      <w:pPr>
        <w:pStyle w:val="Normal"/>
        <w:tabs>
          <w:tab w:val="left" w:pos="720" w:leader="none"/>
        </w:tabs>
        <w:jc w:val="both"/>
        <w:rPr/>
      </w:pPr>
      <w:r>
        <w:rPr/>
        <w:tab/>
        <w:tab/>
        <w:t>This termination of the Transactions constitutes termination of forward contracts as permitted by Section 556 of the Bankruptcy Code because of the occurrence of a condition specified in Section 365(e)(1) of the Bankruptcy Code.</w:t>
      </w:r>
    </w:p>
    <w:p>
      <w:pPr>
        <w:pStyle w:val="Normal"/>
        <w:tabs>
          <w:tab w:val="clear" w:pos="720"/>
          <w:tab w:val="left" w:pos="990" w:leader="none"/>
          <w:tab w:val="left" w:pos="5760" w:leader="none"/>
        </w:tabs>
        <w:jc w:val="both"/>
        <w:rPr/>
      </w:pPr>
      <w:r>
        <w:rPr/>
      </w:r>
    </w:p>
    <w:p>
      <w:pPr>
        <w:pStyle w:val="Normal"/>
        <w:tabs>
          <w:tab w:val="left" w:pos="720" w:leader="none"/>
          <w:tab w:val="left" w:pos="5760" w:leader="none"/>
        </w:tabs>
        <w:jc w:val="both"/>
        <w:rPr/>
      </w:pPr>
      <w:r>
        <w:rPr/>
        <w:tab/>
        <w:t>EPMI preserves all rights of setoff pursuant to Section 5.6 of the Master Agreement, including any right of setoff, combination of accounts, lien or other right to which EPMI is at any time entitled (whether by operation of law, contract or otherwise).</w:t>
      </w:r>
    </w:p>
    <w:p>
      <w:pPr>
        <w:pStyle w:val="Normal"/>
        <w:tabs>
          <w:tab w:val="clear" w:pos="720"/>
          <w:tab w:val="left" w:pos="7065" w:leader="none"/>
        </w:tabs>
        <w:jc w:val="both"/>
        <w:rPr/>
      </w:pPr>
      <w:r>
        <w:rPr/>
        <w:tab/>
      </w:r>
    </w:p>
    <w:p>
      <w:pPr>
        <w:pStyle w:val="Normal"/>
        <w:tabs>
          <w:tab w:val="left" w:pos="720" w:leader="none"/>
          <w:tab w:val="left" w:pos="5760" w:leader="none"/>
        </w:tabs>
        <w:jc w:val="both"/>
        <w:rPr/>
      </w:pPr>
      <w:r>
        <w:rPr/>
        <w:tab/>
        <w:t>In accordance with Article Five of the Master Agreement, an accounting of the Termination Payment owed to or owing by PG&amp;E and any setoffs exercised by EPMI will be provided to you in due course.</w:t>
      </w:r>
    </w:p>
    <w:p>
      <w:pPr>
        <w:pStyle w:val="Normal"/>
        <w:tabs>
          <w:tab w:val="clear" w:pos="720"/>
          <w:tab w:val="left" w:pos="990" w:leader="none"/>
          <w:tab w:val="left" w:pos="5760" w:leader="none"/>
        </w:tabs>
        <w:jc w:val="center"/>
        <w:rPr/>
      </w:pPr>
      <w:r>
        <w:rPr/>
      </w:r>
    </w:p>
    <w:p>
      <w:pPr>
        <w:pStyle w:val="Normal"/>
        <w:tabs>
          <w:tab w:val="clear" w:pos="720"/>
          <w:tab w:val="left" w:pos="990" w:leader="none"/>
          <w:tab w:val="left" w:pos="5760" w:leader="none"/>
        </w:tabs>
        <w:jc w:val="both"/>
        <w:rPr/>
      </w:pPr>
      <w:r>
        <w:rPr/>
      </w:r>
    </w:p>
    <w:p>
      <w:pPr>
        <w:pStyle w:val="Normal"/>
        <w:tabs>
          <w:tab w:val="clear" w:pos="720"/>
          <w:tab w:val="left" w:pos="990" w:leader="none"/>
          <w:tab w:val="left" w:pos="5760" w:leader="none"/>
        </w:tabs>
        <w:jc w:val="both"/>
        <w:rPr/>
      </w:pPr>
      <w:r>
        <w:rPr/>
      </w:r>
    </w:p>
    <w:p>
      <w:pPr>
        <w:pStyle w:val="Normal"/>
        <w:tabs>
          <w:tab w:val="clear" w:pos="720"/>
          <w:tab w:val="left" w:pos="990" w:leader="none"/>
          <w:tab w:val="left" w:pos="5760" w:leader="none"/>
        </w:tabs>
        <w:jc w:val="both"/>
        <w:rPr/>
      </w:pPr>
      <w:r>
        <w:rPr/>
      </w:r>
    </w:p>
    <w:p>
      <w:pPr>
        <w:pStyle w:val="Normal"/>
        <w:tabs>
          <w:tab w:val="left" w:pos="720" w:leader="none"/>
        </w:tabs>
        <w:jc w:val="both"/>
        <w:rPr/>
      </w:pPr>
      <w:r>
        <w:rPr/>
        <w:tab/>
        <w:t>We note from the record that James L. Lopes of Howard, Rice, Nemerovski, Canady, Falk &amp; Rabkin represents you with respect to the proceedings.  We are therefore providing Howard, Rice, Nemerovski, Canady, Falk &amp; Rabkin with a copy of this letter.</w:t>
      </w:r>
    </w:p>
    <w:p>
      <w:pPr>
        <w:pStyle w:val="Normal"/>
        <w:jc w:val="both"/>
        <w:rPr/>
      </w:pPr>
      <w:r>
        <w:rPr/>
      </w:r>
    </w:p>
    <w:p>
      <w:pPr>
        <w:pStyle w:val="Normal"/>
        <w:jc w:val="both"/>
        <w:rPr/>
      </w:pPr>
      <w:r>
        <w:rPr/>
        <w:tab/>
        <w:tab/>
        <w:tab/>
        <w:tab/>
        <w:tab/>
        <w:t>Very truly yours,</w:t>
      </w:r>
    </w:p>
    <w:p>
      <w:pPr>
        <w:pStyle w:val="Normal"/>
        <w:tabs>
          <w:tab w:val="clear" w:pos="720"/>
          <w:tab w:val="left" w:pos="990" w:leader="none"/>
          <w:tab w:val="left" w:pos="5760" w:leader="none"/>
        </w:tabs>
        <w:jc w:val="both"/>
        <w:rPr/>
      </w:pPr>
      <w:r>
        <w:rPr/>
      </w:r>
    </w:p>
    <w:p>
      <w:pPr>
        <w:pStyle w:val="Normal"/>
        <w:tabs>
          <w:tab w:val="clear" w:pos="720"/>
          <w:tab w:val="left" w:pos="990" w:leader="none"/>
          <w:tab w:val="left" w:pos="4320" w:leader="none"/>
        </w:tabs>
        <w:jc w:val="both"/>
        <w:rPr/>
      </w:pPr>
      <w:r>
        <w:rPr/>
      </w:r>
    </w:p>
    <w:p>
      <w:pPr>
        <w:pStyle w:val="Normal"/>
        <w:tabs>
          <w:tab w:val="clear" w:pos="720"/>
          <w:tab w:val="left" w:pos="990" w:leader="none"/>
          <w:tab w:val="left" w:pos="3600" w:leader="none"/>
        </w:tabs>
        <w:jc w:val="both"/>
        <w:rPr/>
      </w:pPr>
      <w:r>
        <w:rPr/>
        <w:tab/>
        <w:tab/>
        <w:t>Enron Power Marketing, Inc.</w:t>
      </w:r>
    </w:p>
    <w:p>
      <w:pPr>
        <w:pStyle w:val="Normal"/>
        <w:tabs>
          <w:tab w:val="clear" w:pos="720"/>
          <w:tab w:val="left" w:pos="990" w:leader="none"/>
          <w:tab w:val="left" w:pos="3600" w:leader="none"/>
          <w:tab w:val="left" w:pos="4320" w:leader="none"/>
        </w:tabs>
        <w:jc w:val="both"/>
        <w:rPr/>
      </w:pPr>
      <w:r>
        <w:rPr/>
      </w:r>
    </w:p>
    <w:p>
      <w:pPr>
        <w:pStyle w:val="Normal"/>
        <w:tabs>
          <w:tab w:val="clear" w:pos="720"/>
          <w:tab w:val="left" w:pos="990" w:leader="none"/>
          <w:tab w:val="left" w:pos="3600" w:leader="none"/>
          <w:tab w:val="left" w:pos="4320" w:leader="none"/>
        </w:tabs>
        <w:jc w:val="both"/>
        <w:rPr/>
      </w:pPr>
      <w:r>
        <w:rPr/>
        <w:tab/>
        <w:tab/>
        <w:t>______________________________________</w:t>
      </w:r>
    </w:p>
    <w:p>
      <w:pPr>
        <w:pStyle w:val="Normal"/>
        <w:tabs>
          <w:tab w:val="clear" w:pos="720"/>
          <w:tab w:val="left" w:pos="990" w:leader="none"/>
          <w:tab w:val="left" w:pos="3600" w:leader="none"/>
          <w:tab w:val="left" w:pos="4320" w:leader="none"/>
        </w:tabs>
        <w:jc w:val="both"/>
        <w:rPr/>
      </w:pPr>
      <w:r>
        <w:rPr/>
        <w:tab/>
        <w:tab/>
        <w:t xml:space="preserve">Per:  </w:t>
      </w:r>
    </w:p>
    <w:p>
      <w:pPr>
        <w:pStyle w:val="Normal"/>
        <w:tabs>
          <w:tab w:val="clear" w:pos="720"/>
          <w:tab w:val="left" w:pos="990" w:leader="none"/>
          <w:tab w:val="left" w:pos="3600" w:leader="none"/>
          <w:tab w:val="left" w:pos="4320" w:leader="none"/>
        </w:tabs>
        <w:jc w:val="both"/>
        <w:rPr/>
      </w:pPr>
      <w:r>
        <w:rPr/>
        <w:tab/>
        <w:tab/>
        <w:t xml:space="preserve">Title:  </w:t>
      </w:r>
    </w:p>
    <w:p>
      <w:pPr>
        <w:pStyle w:val="Normal"/>
        <w:tabs>
          <w:tab w:val="clear" w:pos="720"/>
          <w:tab w:val="left" w:pos="990" w:leader="none"/>
          <w:tab w:val="left" w:pos="3600" w:leader="none"/>
          <w:tab w:val="left" w:pos="4320" w:leader="none"/>
        </w:tabs>
        <w:jc w:val="both"/>
        <w:rPr/>
      </w:pPr>
      <w:r>
        <w:rPr/>
      </w:r>
    </w:p>
    <w:p>
      <w:pPr>
        <w:pStyle w:val="Normal"/>
        <w:tabs>
          <w:tab w:val="clear" w:pos="720"/>
          <w:tab w:val="left" w:pos="990" w:leader="none"/>
          <w:tab w:val="left" w:pos="3600" w:leader="none"/>
          <w:tab w:val="left" w:pos="4320" w:leader="none"/>
        </w:tabs>
        <w:jc w:val="both"/>
        <w:rPr/>
      </w:pPr>
      <w:r>
        <w:rPr/>
      </w:r>
    </w:p>
    <w:p>
      <w:pPr>
        <w:pStyle w:val="Normal"/>
        <w:jc w:val="both"/>
        <w:rPr/>
      </w:pPr>
      <w:r>
        <w:rPr/>
        <w:t>cc:  James L. Lopes (by facsimile:  415-217-5910)</w:t>
      </w:r>
    </w:p>
    <w:p>
      <w:pPr>
        <w:pStyle w:val="Normal"/>
        <w:tabs>
          <w:tab w:val="clear" w:pos="720"/>
          <w:tab w:val="left" w:pos="990" w:leader="none"/>
          <w:tab w:val="left" w:pos="3600" w:leader="none"/>
          <w:tab w:val="left" w:pos="4320" w:leader="none"/>
        </w:tabs>
        <w:jc w:val="both"/>
        <w:rPr/>
      </w:pPr>
      <w:r>
        <w:rPr/>
      </w:r>
    </w:p>
    <w:p>
      <w:pPr>
        <w:pStyle w:val="Normal"/>
        <w:tabs>
          <w:tab w:val="clear" w:pos="720"/>
          <w:tab w:val="left" w:pos="990" w:leader="none"/>
          <w:tab w:val="left" w:pos="3600" w:leader="none"/>
          <w:tab w:val="left" w:pos="4320" w:leader="none"/>
        </w:tabs>
        <w:jc w:val="both"/>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/mnt/main-storage/datasets/enron-docs/doc/Term_Ltr_2-b64954e1edf2d40492a467fe6a869e3837ea1950660d2ad40d5045a977a2ae0e.DOC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/mnt/main-storage/datasets/enron-docs/doc/Term_Ltr_2-b64954e1edf2d40492a467fe6a869e3837ea1950660d2ad40d5045a977a2ae0e.DOC</w:t>
    </w:r>
    <w:r>
      <w:rPr>
        <w:sz w:val="1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April 9, 2001</w:t>
    </w:r>
  </w:p>
  <w:p>
    <w:pPr>
      <w:pStyle w:val="Head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numPr>
        <w:ilvl w:val="0"/>
        <w:numId w:val="1"/>
      </w:numPr>
      <w:outlineLvl w:val="0"/>
    </w:pPr>
    <w:rPr/>
  </w:style>
  <w:style w:type="paragraph" w:styleId="Heading2">
    <w:name w:val="heading 2"/>
    <w:basedOn w:val="Normal"/>
    <w:next w:val="Normal"/>
    <w:qFormat/>
    <w:pPr>
      <w:numPr>
        <w:ilvl w:val="1"/>
        <w:numId w:val="1"/>
      </w:numPr>
      <w:outlineLvl w:val="1"/>
    </w:pPr>
    <w:rPr/>
  </w:style>
  <w:style w:type="paragraph" w:styleId="Heading3">
    <w:name w:val="heading 3"/>
    <w:basedOn w:val="Normal"/>
    <w:next w:val="Normal"/>
    <w:qFormat/>
    <w:pPr>
      <w:numPr>
        <w:ilvl w:val="2"/>
        <w:numId w:val="1"/>
      </w:numPr>
      <w:outlineLvl w:val="2"/>
    </w:pPr>
    <w:rPr/>
  </w:style>
  <w:style w:type="paragraph" w:styleId="Heading4">
    <w:name w:val="heading 4"/>
    <w:basedOn w:val="Normal"/>
    <w:next w:val="Normal"/>
    <w:qFormat/>
    <w:pPr>
      <w:numPr>
        <w:ilvl w:val="3"/>
        <w:numId w:val="1"/>
      </w:numPr>
      <w:outlineLvl w:val="3"/>
    </w:pPr>
    <w:rPr/>
  </w:style>
  <w:style w:type="paragraph" w:styleId="Heading5">
    <w:name w:val="heading 5"/>
    <w:basedOn w:val="Normal"/>
    <w:next w:val="Normal"/>
    <w:qFormat/>
    <w:pPr>
      <w:numPr>
        <w:ilvl w:val="4"/>
        <w:numId w:val="1"/>
      </w:numPr>
      <w:outlineLvl w:val="4"/>
    </w:pPr>
    <w:rPr/>
  </w:style>
  <w:style w:type="paragraph" w:styleId="Heading6">
    <w:name w:val="heading 6"/>
    <w:basedOn w:val="Normal"/>
    <w:next w:val="Normal"/>
    <w:qFormat/>
    <w:pPr>
      <w:numPr>
        <w:ilvl w:val="5"/>
        <w:numId w:val="1"/>
      </w:numPr>
      <w:outlineLvl w:val="5"/>
    </w:pPr>
    <w:rPr/>
  </w:style>
  <w:style w:type="paragraph" w:styleId="Heading7">
    <w:name w:val="heading 7"/>
    <w:basedOn w:val="Normal"/>
    <w:next w:val="Normal"/>
    <w:qFormat/>
    <w:pPr>
      <w:numPr>
        <w:ilvl w:val="6"/>
        <w:numId w:val="1"/>
      </w:numPr>
      <w:outlineLvl w:val="6"/>
    </w:pPr>
    <w:rPr/>
  </w:style>
  <w:style w:type="paragraph" w:styleId="Heading8">
    <w:name w:val="heading 8"/>
    <w:basedOn w:val="Normal"/>
    <w:next w:val="Normal"/>
    <w:qFormat/>
    <w:pPr>
      <w:numPr>
        <w:ilvl w:val="7"/>
        <w:numId w:val="1"/>
      </w:numPr>
      <w:outlineLvl w:val="7"/>
    </w:pPr>
    <w:rPr/>
  </w:style>
  <w:style w:type="paragraph" w:styleId="Heading9">
    <w:name w:val="heading 9"/>
    <w:basedOn w:val="Normal"/>
    <w:next w:val="Normal"/>
    <w:qFormat/>
    <w:pPr>
      <w:numPr>
        <w:ilvl w:val="8"/>
        <w:numId w:val="1"/>
      </w:numPr>
      <w:outlineLvl w:val="8"/>
    </w:pPr>
    <w:rPr/>
  </w:style>
  <w:style w:type="character" w:styleId="WW8Num2z0">
    <w:name w:val="WW8Num2z0"/>
    <w:qFormat/>
    <w:rPr>
      <w:color w:val="000000"/>
    </w:rPr>
  </w:style>
  <w:style w:type="character" w:styleId="DefaultParagraphFont">
    <w:name w:val="Default Paragraph Font"/>
    <w:qFormat/>
    <w:rPr/>
  </w:style>
  <w:style w:type="character" w:styleId="Hidden">
    <w:name w:val="Hidden"/>
    <w:basedOn w:val="DefaultParagraphFont"/>
    <w:qFormat/>
    <w:rPr>
      <w:vanish/>
      <w:color w:val="FF0000"/>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2001-04-09T11:28:00Z</dcterms:created>
  <dc:creator>LeBoeuf, Lamb, Greene &amp; MacRae, L.L.P.</dc:creator>
  <dc:description/>
  <cp:keywords>HN 46638.1 02618 00125 4/8/01 3:46:32 PM</cp:keywords>
  <dc:language>en-CA</dc:language>
  <cp:lastModifiedBy>esager</cp:lastModifiedBy>
  <cp:lastPrinted>2001-04-09T12:55:00Z</cp:lastPrinted>
  <dcterms:modified xsi:type="dcterms:W3CDTF">2001-04-09T15:26:00Z</dcterms:modified>
  <cp:revision>5</cp:revision>
  <dc:subject/>
  <dc:title>Heading 1</dc:title>
</cp:coreProperties>
</file>