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2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3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4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8190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620"/>
        <w:gridCol w:w="3570"/>
      </w:tblGrid>
      <w:tr>
        <w:trPr/>
        <w:tc>
          <w:tcPr>
            <w:tcW w:w="4620" w:type="dxa"/>
            <w:tcBorders/>
          </w:tcPr>
          <w:p>
            <w:pPr>
              <w:pStyle w:val="HTMLPreformatted"/>
              <w:rPr/>
            </w:pPr>
            <w:r>
              <w:rPr/>
              <w:t>TENNESSEE GAS PIPELINE COMPANY</w:t>
            </w:r>
          </w:p>
          <w:p>
            <w:pPr>
              <w:pStyle w:val="HTMLPreformatted"/>
              <w:rPr/>
            </w:pPr>
            <w:r>
              <w:rPr/>
              <w:t>FERC Gas Tariff</w:t>
            </w:r>
          </w:p>
          <w:p>
            <w:pPr>
              <w:pStyle w:val="HTMLPreformatted"/>
              <w:rPr/>
            </w:pPr>
            <w:r>
              <w:rPr/>
              <w:t>FIFTH REVISED VOLUME NO. 1</w:t>
            </w:r>
          </w:p>
        </w:tc>
        <w:tc>
          <w:tcPr>
            <w:tcW w:w="357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HTMLPreformatted"/>
              <w:jc w:val="end"/>
              <w:rPr/>
            </w:pPr>
            <w:r>
              <w:rPr/>
              <w:t>Seventh Revised Sheet No. 405</w:t>
            </w:r>
          </w:p>
          <w:p>
            <w:pPr>
              <w:pStyle w:val="HTMLPreformatted"/>
              <w:jc w:val="end"/>
              <w:rPr/>
            </w:pPr>
            <w:r>
              <w:rPr/>
              <w:t>Superseding</w:t>
            </w:r>
          </w:p>
          <w:p>
            <w:pPr>
              <w:pStyle w:val="HTMLPreformatted"/>
              <w:jc w:val="end"/>
              <w:rPr/>
            </w:pPr>
            <w:r>
              <w:rPr/>
              <w:t>Sixth Revised Sheet No. 405</w:t>
            </w:r>
          </w:p>
        </w:tc>
      </w:tr>
      <w:tr>
        <w:trPr/>
        <w:tc>
          <w:tcPr>
            <w:tcW w:w="8190" w:type="dxa"/>
            <w:gridSpan w:val="2"/>
            <w:tcBorders/>
            <w:vAlign w:val="cente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  </w:t>
            </w:r>
            <w:r>
              <w:rPr/>
              <w:t>GENERAL TERMS AND CONDITIONS (continued)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     </w:t>
            </w:r>
            <w:r>
              <w:rPr/>
              <w:t xml:space="preserve">present the financial condition and results of operations of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</w:t>
            </w:r>
            <w:r>
              <w:rPr/>
              <w:t xml:space="preserve">Shipper for the period indicated therein) prepared in accordance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</w:t>
            </w:r>
            <w:r>
              <w:rPr/>
              <w:t xml:space="preserve">with generally accepted accounting principles or, for non-U.S.-based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</w:t>
            </w:r>
            <w:r>
              <w:rPr/>
              <w:t>Shippers, prepared in accordance with equivalent standards;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(b)  a copy of Shipper's most recent twelve months audited financial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</w:t>
            </w:r>
            <w:r>
              <w:rPr/>
              <w:t>statements or Annual Report and, if applicable, Form 10-K; and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(c)  a list of Shipper's affiliates, including parent and subsidiaries, </w:t>
            </w:r>
          </w:p>
          <w:p>
            <w:pPr>
              <w:pStyle w:val="HTMLPreformatted"/>
              <w:rPr/>
            </w:pPr>
            <w:r>
              <w:rPr/>
              <w:t xml:space="preserve">                           </w:t>
            </w:r>
            <w:r>
              <w:rPr/>
              <w:t>if applicable.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 xml:space="preserve">4.2    In the event Shipper cannot provide the information in Section 4.1 above,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Shipper shall, if applicable, provide that information for its parent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company.  Transporter shall not be required to perform or to continue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service under any Rate Schedule on behalf of any Shipper who is or has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become insolvent or who, at Transporter's request, fails within a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reasonable period to demonstrate credit worthiness, provided, however such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Shipper may receive service under any Rate Schedule if Shipper prepays for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such service or furnishes good and sufficient security, as determined by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Transporter in its reasonable discretion, in an amount equal to the cost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of performing the service requested by Shipper for a three month period. 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For purposes herein, the insolvency of a Shipper shall be conclusively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demonstrated by the filing by Shipper or any parent entity thereof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(hereinafter collectively referred to as "the Shipper") of a voluntary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petition in bankruptcy or the entry of a decree or order by a court having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jurisdiction in the premises adjudging the Shipper bankrupt or insolvent,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or approving, as properly filed, a petition seeking reorganization,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arrangement, adjustment or composition of or in respect of the Shipper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under the Federal Bankruptcy Act or any other applicable federal or state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law, or appointing a receiver, liquidator, assignee, trustee, sequestrator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(or other similar official) of the Shipper or of any substantial part of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its property, or the ordering of the winding-up or liquidation of its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affairs, with said order or decree continuing unstayed and in effect for a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period of sixty (60) consecutive days.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</w:t>
            </w:r>
            <w:r>
              <w:rPr/>
              <w:t>5.     AWARD OF GENERALLY AVAILABLE CAPACITY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</w:t>
            </w:r>
            <w:r>
              <w:rPr/>
              <w:t>5.1    Open Season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Available capacity on Transporter's system will be posted on the PASSKEY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system.  When a Shipper expresses interest in available capacity for a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period greater than 92 days, Transporter will post a notice on PASSKEY,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wherein it will state that Transporter will receive bids for the forward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haul or backhaul capacity in accordance with this Section 5.  In addition,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Transporter may post notices on PASSKEY for the subscription of forward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haul or backhaul capacity available for any period which shall also be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subject to the terms of this Section 5.  All postings made pursuant to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this Section 5.1 shall contain the type of service that is available,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dates and duration that the service will be available, the location of the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available forward haul or backhaul capacity and/or deliverability, any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minimum terms and conditions that would be acceptable for consideration,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the relevant discount factor, the minimum bid packages that will be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considered, any minimum terms and conditions for Expired Contract Capacity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(as that term is defined in Section 5.8 of this Article XXVIII) comparable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to the minimum terms and conditions for an expansion project pursuant to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 xml:space="preserve">Section 5.8 below, and any other information that Transporter determines </w:t>
            </w:r>
          </w:p>
          <w:p>
            <w:pPr>
              <w:pStyle w:val="HTMLPreformatted"/>
              <w:rPr/>
            </w:pPr>
            <w:r>
              <w:rPr/>
              <w:t xml:space="preserve">                      </w:t>
            </w:r>
            <w:r>
              <w:rPr/>
              <w:t>to be relevant.  All postings shall specify the weight to be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8190" w:type="dxa"/>
            <w:gridSpan w:val="2"/>
            <w:tcBorders/>
            <w:vAlign w:val="center"/>
          </w:tcPr>
          <w:p>
            <w:pPr>
              <w:pStyle w:val="HTMLPreformatted"/>
              <w:rPr/>
            </w:pPr>
            <w:r>
              <w:rPr/>
              <w:t>Issued by: Jake Hiatt, Agent and Attorney-in-Fact</w:t>
            </w:r>
          </w:p>
          <w:p>
            <w:pPr>
              <w:pStyle w:val="HTMLPreformatted"/>
              <w:rPr/>
            </w:pPr>
            <w:r>
              <w:rPr/>
              <w:t>Issued on: July 24, 2000                      Effective on: June 23, 2000</w:t>
            </w:r>
          </w:p>
          <w:p>
            <w:pPr>
              <w:pStyle w:val="HTMLPreformatted"/>
              <w:rPr/>
            </w:pPr>
            <w:r>
              <w:rPr/>
              <w:t xml:space="preserve">Filed to comply with order of the Federal Energy Regulatory Commission, Docket </w:t>
            </w:r>
          </w:p>
          <w:p>
            <w:pPr>
              <w:pStyle w:val="HTMLPreformatted"/>
              <w:rPr/>
            </w:pPr>
            <w:r>
              <w:rPr/>
              <w:t>No. RP00-300, issued June 23, 2000, 91 FERC ¶ 61,292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2980" w:type="dxa"/>
        <w:jc w:val="start"/>
        <w:tblInd w:w="-16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45"/>
        <w:gridCol w:w="797"/>
        <w:gridCol w:w="938"/>
      </w:tblGrid>
      <w:tr>
        <w:trPr/>
        <w:tc>
          <w:tcPr>
            <w:tcW w:w="1245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5">
              <w:r>
                <w:rPr>
                  <w:rStyle w:val="Hyperlink"/>
                </w:rPr>
                <w:t>Previous</w:t>
              </w:r>
            </w:hyperlink>
            <w:r>
              <w:rPr/>
              <w:t>  </w:t>
            </w:r>
          </w:p>
        </w:tc>
        <w:tc>
          <w:tcPr>
            <w:tcW w:w="797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6">
              <w:r>
                <w:rPr>
                  <w:rStyle w:val="Hyperlink"/>
                </w:rPr>
                <w:t>Next</w:t>
              </w:r>
            </w:hyperlink>
            <w:r>
              <w:rPr/>
              <w:t>  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hyperlink r:id="rId7">
              <w:r>
                <w:rPr>
                  <w:rStyle w:val="Hyperlink"/>
                </w:rPr>
                <w:t>Search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riff.epenergy.com/EBB-Tariff/tgp/sheet.asp?sid=387" TargetMode="External"/><Relationship Id="rId3" Type="http://schemas.openxmlformats.org/officeDocument/2006/relationships/hyperlink" Target="http://tariff.epenergy.com/EBB-Tariff/tgp/sheet.asp?sid=389" TargetMode="External"/><Relationship Id="rId4" Type="http://schemas.openxmlformats.org/officeDocument/2006/relationships/hyperlink" Target="http://tariff.epenergy.com/EBB-Tariff/tgp/search.asp" TargetMode="External"/><Relationship Id="rId5" Type="http://schemas.openxmlformats.org/officeDocument/2006/relationships/hyperlink" Target="http://tariff.epenergy.com/EBB-Tariff/tgp/sheet.asp?sid=387" TargetMode="External"/><Relationship Id="rId6" Type="http://schemas.openxmlformats.org/officeDocument/2006/relationships/hyperlink" Target="http://tariff.epenergy.com/EBB-Tariff/tgp/sheet.asp?sid=389" TargetMode="External"/><Relationship Id="rId7" Type="http://schemas.openxmlformats.org/officeDocument/2006/relationships/hyperlink" Target="http://tariff.epenergy.com/EBB-Tariff/tgp/search.asp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2002-03-06T20:34:00Z</dcterms:created>
  <dc:creator>rconcan</dc:creator>
  <dc:description/>
  <dc:language>en-CA</dc:language>
  <cp:lastModifiedBy>rconcan</cp:lastModifiedBy>
  <dcterms:modified xsi:type="dcterms:W3CDTF">2002-03-06T20:34:00Z</dcterms:modified>
  <cp:revision>1</cp:revision>
  <dc:subject/>
  <dc:title>Previous  </dc:title>
</cp:coreProperties>
</file>