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057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028"/>
        <w:gridCol w:w="4029"/>
      </w:tblGrid>
      <w:tr>
        <w:trPr/>
        <w:tc>
          <w:tcPr>
            <w:tcW w:w="4028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4029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Second Sub Third Revised Sheet No. 336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Second Revised Sheet No. 336</w:t>
            </w:r>
          </w:p>
        </w:tc>
      </w:tr>
      <w:tr>
        <w:trPr/>
        <w:tc>
          <w:tcPr>
            <w:tcW w:w="8057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11.8   Reassignment of Released Capacity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A Replacement Shipper shall be allowed to release the capacity under its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Transportation Service Agreement, provided that the original release was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not volumetrically based.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11.9   Submission of Information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Shippers shall submit all necessary information, Release Requests,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Replacement Requests and bids to Transporter via PASSKEY.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11.10  Marketing of Released Capacity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Transporter shall have no obligation to market any capacity available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be released by a Releasing Shipper.  Transporter, however, may agree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market capacity for a Releasing Shipper and may negotiate a fee with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Releasing Shipper for such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11.11  Further Conditions on Release of Transportation Rights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(a)     Persons participating in this release program agree to be bound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and shall comply with the terms and conditions of this FERC Gas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Tariff and all applicable Commission rules, orders and regulations.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(b)     All terms and conditions in all Release Requests must be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objectively stated, applicable to all Bidders and non-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discriminatory.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(c)     The minimum term for any release shall be one day and the maximum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term shall be the remaining term of the Releasing Shipper's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Transportation Service Agreement.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(d)     Pursuant to 18 C.F.R. Section 284.8(i) of the FERC's regulations,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until September 30, 2002, the applicable rate(s) for releases with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terms of less than one year shall be the rate(s) set by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Releasing Shippers.  For all other releases, and for all releases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after September 30, 2002, the rate for a volumetric release shall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not exceed the daily demand charges for the released capacity plus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all applicable surcharges; and the rates for all other releases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shall be the applicable reservation rate plus all applicable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surcharges set forth in this FERC Gas Tariff, notwithstanding any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discounts then in effect for the Releasing Shipper.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057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July 7, 2000                       Effective on: May 1, 2000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RP00-229, issued June 28, 2000, 91 FERC ¶ 61,298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5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6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7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8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9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0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012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634"/>
        <w:gridCol w:w="3378"/>
      </w:tblGrid>
      <w:tr>
        <w:trPr/>
        <w:tc>
          <w:tcPr>
            <w:tcW w:w="4634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37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Ninth Revised Sheet No. 337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Eighth Revised Sheet No. 337</w:t>
            </w:r>
          </w:p>
        </w:tc>
      </w:tr>
      <w:tr>
        <w:trPr/>
        <w:tc>
          <w:tcPr>
            <w:tcW w:w="8012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(e)     Unless otherwise agreed to in the underlying Transportation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Agreement, when Transporter discounts the rate for service rendered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pursuant to Rate Schedule IT in a market below the maximum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commodity rate for service rendered pursuant to Rate Schedules FT-A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or FT-G in that market, then Transporter shall contemporaneously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post the discounted IT rate on PASSKEY and post a notice that for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released capacity used to serve the identified market, Transporter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will offer to discount the FT-A/FT-G commodity rate to a level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equal to the discounted IT rate for that market.  For these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purposes, market shall be defined on the basis of receipt point(s),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delivery point(s) and/or gas user(s) behind the delivery point(s).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(f)     All terms and conditions of all releases must be consistent with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terms and conditions of the Releasing Shipper's Service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Agreement and with Transporter's FERC Gas Tariff, including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provisions on nominations and scheduling of service and curtailment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(g)     GISB Standard 5.3.6 (Version 1.4) states:  If the Releasing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wishes to recall capacity to be effective for a Gas Day, the notice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should be provided to the transportation service provider and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acquiring shipper no later than 8:00 a.m. Central Clock Time on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nomination day. 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Releasing Shipper may not effect a partial day recall 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capacity.  Such notification will confirm that the conditions 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recall have been met and will be accompanied by the scheduling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information required under Article III.  A Releasing Shipper may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specify in the Release Request whether the recalled capacity is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be reput (i.e., released back) to the original Replacement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and the terms of the reput.  These terms may be either:  (i) reput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must be accepted by the original Replacement Shipper for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original terms of the release or (ii) reput may be accepted at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option of the original Replacement Shipper for the original terms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of the release.  The Releasing Shipper may effect a reput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notifying Transporter and Replacement Shipper by 8:00 a.m. Central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Clock Time on the day of the nomination deadline on the day prior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to the effective date of the reput of entitlements to Replacement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Shipper.  Provided, however, that if the recall is effected in a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manner such that there is no change in scheduled quantities at any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receipt or delivery points, then Releasing Shipper may notify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Transporter of the recall any time up until two (2) hours prior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its occurrence.  Unless another recall period is specified in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Release Request, the recall period shall not exceed 20 days.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(h)     Transporter may invalidate any Release Request or any Bid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subsequent to its posting on PASSKEY which does not conform in 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respects to the requirements of Transporter's FERC Gas Tariff. 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Upon invalidating a Release Request or Bid, Transporter shall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inform via PASSKEY the Releasing Shipper or Bidder, as applicable,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reason for such invalidation.  Any invalidated Release Request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or Bid shall be deemed null and void.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012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March 30, 2001                     Effective on: May 1, 2001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RM96-1, issued November 30, 2000, 93 FERC ¶ 61,233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1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2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3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4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5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6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159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115"/>
        <w:gridCol w:w="4044"/>
      </w:tblGrid>
      <w:tr>
        <w:trPr/>
        <w:tc>
          <w:tcPr>
            <w:tcW w:w="4115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404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Substitute Third Revised Sheet No. 337A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Second Revised Sheet No. 337A</w:t>
            </w:r>
          </w:p>
        </w:tc>
      </w:tr>
      <w:tr>
        <w:trPr/>
        <w:tc>
          <w:tcPr>
            <w:tcW w:w="8159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(i)     Notwithstanding any release hereunder, a Releasing Shipper shall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remain responsible for payment of the reservation charge for firm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transportation service released; provided, however, that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Transporter and any Shipper may, in connection with their agreement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to a Negotiated Rate under a firm transportation rate schedule,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agree upon Releasing Shipper payment obligations and procedures and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crediting mechanisms in the event of a capacity release that vary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from or are in addition to those set forth herein and in Subsection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(j) of this Section.  The Releasing Shipper will be billed for its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full contractual reservation charge liability to Transporter but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shall simultaneously receive a demand credit equaling the demand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charges for which Transporter has invoiced the Replacement Shipper. 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In addition, if the commodity rate is discounted in accord with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Section 11.11(e) of this Article, then Transporter shall credit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Releasing Shipper's demand liability the difference between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commodity rate billed the Replacement Shipper and the discounted IT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rate posted by Transporter.  A demand rate for the purposes of this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Section consists of (i) the base demand rate, and (ii) 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applicable surcharges, provided that for releases made on a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volumetric basis, the demand charges shall equal (i) the daily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demand rate multiplied by the applicable volume plus (ii) 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applicable surcharges.  A Releasing Shipper paying a discounted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rate shall be entitled to receive any revenues from the release 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its capacity that exceed the amount of the applicable surcharges.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(j)     Transporter shall invoice Replacement Shipper in accordance with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Article V of the General Terms and Conditions based upon the rates,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charges and surcharges incorporated into the Transportation Service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Agreement as a result of the release.  The reservation charges for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Replacement Shipper will include the reservation rate at which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firm transportation service is released including 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adjustments subject to Sections 11.11(d) and 11.11(i) above. 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commodity charges for the Replacement Shipper will include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maximum commodity rate including all adjustments subject to Section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11.11(d) above; provided if the commodity rate has been discounted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in accord with Section 11.11(e) of this Article, Tennessee shall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bill the Replacement Shipper the discounted rate.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159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May 9, 2000                        Effective on: May 1, 2000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RP00-229, issued April 26, 2000, 91 FERC ¶ 61,098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7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8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19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0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1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2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147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634"/>
        <w:gridCol w:w="3513"/>
      </w:tblGrid>
      <w:tr>
        <w:trPr/>
        <w:tc>
          <w:tcPr>
            <w:tcW w:w="4634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513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Second Revised Sheet No. 338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First Revised Sheet No. 338</w:t>
            </w:r>
          </w:p>
        </w:tc>
      </w:tr>
      <w:tr>
        <w:trPr/>
        <w:tc>
          <w:tcPr>
            <w:tcW w:w="8147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Any revenues received by Transporter from the Replacement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will be applied first to the reservation charge liability with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respect to the released capacity then to the usage charge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liability.  If the Replacement Shipper fails to pay all or any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portion of any bill by the due date specified on the invoice, then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Replacement Shipper shall pay a Late Payment Charge calculated in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accord with Article VI, Section 2 of these General Terms and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Conditions.  If such failure to pay continues for 30 days after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payment is due and Transporter has provided the Replacement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at least thirty (30) days notice that service will terminate for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nonpayment, Transporter may terminate the service agreement;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provided, however, that such service agreement will not terminate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if Replacement Shipper successfully exerts its rights under Article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VI of these General Terms and Conditions.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To the extent that Replacement Shipper's service agreement is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terminated in accord with the provisions of this Section and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Article VI, Section 2 of these General Terms and Conditions, then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Transporter may send the Releasing Shipper an invoice for 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unpaid amounts up to the amount of the Releasing Shipper's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reservation charge plus interest calculated from the date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unpaid amount was due from Replacement Shipper.  Releasing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shall submit the payment to Transporter within ten days of receipt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of the invoice.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(k)     Any increase in Transporter's rates, charges and surcharges shall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remain the responsibility of the Releasing Shipper; provided,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however, that the Releasing Shipper may provide in its Release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Request for the rates, charges or surcharges for released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transportation rights to increase in accordance with any such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increases in Transporter's rates, charges and surcharges.  In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either circumstance, any refunds of any rates or charges ordered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the FERC shall be paid to the Replacement Shipper either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Transporter or by Releasing Shipper depending on which entity (the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Transporter or Releasing Shipper) received the proceeds of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excessive rate.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(l)     The Replacement Shipper's service under a release shall be subject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to and governed by the terms and conditions of the Releasing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Shipper's Service Agreement and governing rate schedule and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 xml:space="preserve">Service Agreement executed by Replacement Shipper under Section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   </w:t>
            </w:r>
            <w:r>
              <w:rPr/>
              <w:t>11.6 (h).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147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E. J. Holm, Agent and Attorney-in-Fact</w:t>
            </w:r>
          </w:p>
          <w:p>
            <w:pPr>
              <w:pStyle w:val="HTMLPreformatted"/>
              <w:rPr/>
            </w:pPr>
            <w:r>
              <w:rPr/>
              <w:t>Issued on: March 3, 1997                      Effective on: June 1, 1997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RP97-60, issued January 8, 1997, 78 FERC ¶ 61,007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3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4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5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6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7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8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27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776"/>
        <w:gridCol w:w="3494"/>
      </w:tblGrid>
      <w:tr>
        <w:trPr/>
        <w:tc>
          <w:tcPr>
            <w:tcW w:w="4776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49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Fifth Revised Sheet No. 355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Fourth Revised Sheet No. 355</w:t>
            </w:r>
          </w:p>
        </w:tc>
      </w:tr>
      <w:tr>
        <w:trPr/>
        <w:tc>
          <w:tcPr>
            <w:tcW w:w="8270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If, upon test, any measuring equipment shall be found to be inaccurate by an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amount exceeding two percent, at a recording corresponding to the average hourly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rate of flow for the period since the last preceding test, then any previous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recordings of such equipment shall be corrected to zero error for any period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which is known definitely, but in case the period is not known or agreed upon,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such correction shall be for a period extending over one-half of the time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elapsed since the date of the last test, not exceeding a correction period of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sixteen days.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6.     Correction of metering errors--failure of meters:  In the event a meter is out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of service, or registering inaccurately, the volume of gas delivered shall be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determined: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(a)    by using the registration of any check meter or meters, if installed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and accurately registering, or, in the absence of (a);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(b)    by correcting the error if the percentage of error is ascertainable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calibration, tests, or mathematical calculation, or in the absence 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both (a) and (b);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(c)    by estimating the quantity of the delivery by use of deliveries during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periods under similar conditions when the meter was registering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accurately.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7.     Correction of metering errors - adjustments:  A measurement data correction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shall become a prior period adjustment (PPA) after the fifth (5th) business day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following the production month. 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GISB Standard 2.3.14 (Version 1.4) states:  Measurement data corrections should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be processed within 6 months of the production month with a 3-month rebuttal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period.  This standard shall not apply in the case of deliberate omission or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misrepresentation or mutual mistake of fact.  Parties' other statutory or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contractual rights shall not otherwise be diminished by this standard.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8.     Preservation of metering records:  Transporter, Shipper and Operator shall each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preserve for a period of at least one year all test data, charts and other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similar records.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</w:t>
            </w:r>
            <w:r>
              <w:rPr/>
              <w:t>V.   INVOICING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1.     Monthly invoicing date: GISB Standard 3.3.14 (Version 1.4) states: 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imbalance statement should be rendered prior to or with the invoice, and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transportation invoice should be prepared on or before the 9th business day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after the end of the production month.  Rendered is defined as postmarked, time-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stamped, and delivered to the designated site.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Invoices may be rendered by mail or electronic communication.  Transporter may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render separate invoices for demand charges, commodity charges and cash-out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charges.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2.     Right of examination:  Both Transporter and Shipper shall have the right to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examine at any reasonable time the applicable books and records (or portions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thereof) of the other, necessary to verify the accuracy of any statement made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under or pursuant to the provisions of the gas service contract.  Upon receipt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of a request, the requestee will either send the relevant information to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requestor or will provide the requestor the right to review such information in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the requestee's offices.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270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March 30, 2001                     Effective on: May 1, 2001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RM96-1, issued November 30, 2000, 93 FERC ¶ 61,233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9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0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1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2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3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4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425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966"/>
        <w:gridCol w:w="3459"/>
      </w:tblGrid>
      <w:tr>
        <w:trPr/>
        <w:tc>
          <w:tcPr>
            <w:tcW w:w="4966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459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Sixth Revised Sheet No. 356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Fifth Revised Sheet No. 356</w:t>
            </w:r>
          </w:p>
        </w:tc>
      </w:tr>
      <w:tr>
        <w:trPr/>
        <w:tc>
          <w:tcPr>
            <w:tcW w:w="8425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>VI.   PAYMENTS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1.     Monthly payment date:  Shipper (or other payor) shall pay Transporter, at a bank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designated by Transporter, so that payment is received and Transporter has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available funds within ten (10) calendar days from the receipt of the invoice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for the gas service purchased by Shipper during the preceding month and invoiced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by Transporter pursuant to the provisions of this Tariff or the gas service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contract.  Transporter may extend the period for payment up to twenty-five (25)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days from receipt of invoice for a Shipper that is a foreign governmental entity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whose compliance with governmental statutes, rules or regulations require a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period longer than 10 days to process invoices.  Transporter may require any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Shipper requesting an extended period for payment to provide certification that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Shipper is an entity of a foreign government.  Shipper (or Payor) shall provide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Transporter (or Payee) with supporting documentation with any payment as well as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the appropriate invoice number on the payment(s).  Transporter shall apply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payment pursuant to the supporting documentation provided.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2.     Remedies for nonpayment:  Should Shipper fail to pay all of the amount of any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invoice as herein provided when such amount is due, Shipper shall pay a Charge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for Late Payment.  Such Charge for Late Payment shall be determined by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multiplying (a) the unpaid portion of the invoice, by (b) the ratio of the number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of days from the due date to the date of actual payment to 365, by (c)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interest rate determined in accordance with Section 154.67 of the Commission's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regulations.  If such failure to pay continues for thirty (30) days after payment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is due and Transporter has provided Shipper and the FERC with at least thirty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(30) days notice that service will terminate due to the non-payment, Transporter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in addition to any other remedy it may have under the service contract may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terminate the service contract; provided, however, that if Shipper in good faith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disputes the amount of any such invoice or part thereof and shall pay to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Transporter such amounts as it concedes to be correct in addition to providing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such remittance detail and documentation identifying the basis for the dispute;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and, at any time within thirty (30) days after a demand made by Transporter,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shall furnish good and sufficient surety bond guaranteeing payment to Transporter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of the amount ultimately found due upon such invoice after a final determination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which may be reached either by agreement or judgment of the courts, as may be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case, then Transporter shall not be entitled to terminate the gas service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contract until a default is made in the conditions of such bond; provided further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that should Shipper prevail on the dispute, Transporter shall reimburse Shipper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for the cost of the surety bond.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3.     Adjustment of underpayment, overpayment or error in invoicing:  If it shall be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found that Shipper has been overcharged or undercharged in any form whatsoever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under the provisions of this Tariff or the service contract and Shipper shall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have actually paid the bills containing such overcharge or undercharge, then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Transporter shall refund the amount of such overcharge and Shipper shall pay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the amount of any such undercharge.  Refund or payment shall be with interest,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calculated in accord with Section 2 of this Article VI, assessed from the date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that payment under the bill with the overcharge or undercharge was due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Transporter.  Any claim for an adjustment of an invoice shall include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documentation of the error. 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GISB Standard 3.3.15 (Version 1.4) states:  Prior period adjustment time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limits should be 6 months from the date of the initial transportation invoice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and 7 months from date of initial sales invoice with a 3-month rebuttal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period, excluding government-required rate changes.  This standard shall not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apply in the case of deliberate omission or mutual mistake of fact.  Parties'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other statutory or contractual rights shall not otherwise be diminished by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this standard.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425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March 30, 2001                     Effective on: May 1, 2001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RM96-1, issued November 30, 2000, 93 FERC ¶ 61,233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5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6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7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8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9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0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503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910"/>
        <w:gridCol w:w="3593"/>
      </w:tblGrid>
      <w:tr>
        <w:trPr/>
        <w:tc>
          <w:tcPr>
            <w:tcW w:w="4910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593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Fifth Revised Sheet No. 357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Fourth Revised Sheet No. 357</w:t>
            </w:r>
          </w:p>
        </w:tc>
      </w:tr>
      <w:tr>
        <w:trPr/>
        <w:tc>
          <w:tcPr>
            <w:tcW w:w="8503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4.     Time of payment extended if invoice delayed:  If presentation of an invoice to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Shipper is delayed after the 9th business day of the month, then the time of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payment shall be extended accordingly unless the Shipper is responsible for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delay.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</w:t>
            </w:r>
            <w:r>
              <w:rPr/>
              <w:t>VII.   POSSESSION OF GAS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Unless otherwise provided in the transportation contract or applicable Rate Schedule, as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between Transporter and Shipper, Shipper shall be deemed to be in exclusive control and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possession of the gas to be transported (i) prior to receipt by Transporter at the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Receipt Point(s), (ii) after receipt by Transporter, when the gas is in the custody of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Shipper or Shipper's designee for separation, processing or other handling, and (iii)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after delivery by Transporter at the Delivery Point(s); otherwise, Transporter shall be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in exclusive control and possession of the gas.  The party which shall be in exclusive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control and possession of the gas shall be responsible for all injury or damage caused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thereby to any third party.  In the absence of negligence or willful misconduct on the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part of Transporter, Shipper waives any and all claims and demands against Transporter,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its officers, employees or agents, arising out of or in any way connected with (i) the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quality, use or condition of the gas after delivery from Transporter for the account of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such Shipper and (ii) any losses or shrinkage of gas during or resulting from custody of </w:t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>Shipper or Shipper's designee.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VIII.   PRESSURE OF GAS DELIVERY AND OPERATIONAL FLOW ORDERS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1.     Pressure of Deliveries:  With respect to all deliveries by Transporter,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Transporter shall make deliveries at Shipper's designated delivery points as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nearly as practicable at Transporter's line pressure; provided that the minimum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pressure shall be as stated in Shipper's Transportation Service agreement and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shall not be less than 100 pounds per square inch gauge.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 xml:space="preserve">2.     Operational Flow Orders:  Transporter shall have the right to issue Operational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Flow Orders (OFOs) as specified in this Section to Shippers, Shippers' Agents,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point operators, and/or Balancing Agreement Holders (referred to collectively as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"OFO Recipients").  As stated in GISB Standard 1.2.6 (Version 1.4), an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Operational Flow Order is an order issued to alleviate conditions, inter alia,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which threaten or could threaten the safe operations or system integrity, of the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transportation service provider's system or to maintain operations required to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provide efficient and reliable firm service.  Whenever a transportation service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provider experiences these conditions, any pertinent order should be referred to </w:t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as an Operational Flow Order.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503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March 30, 2001                     Effective on: May 1, 2001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RM96-1, issued November 30, 2000, 93 FERC ¶ 61,233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1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2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3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riff.epenergy.com/EBB-Tariff/tgp/sheet.asp?sid=300" TargetMode="External"/><Relationship Id="rId3" Type="http://schemas.openxmlformats.org/officeDocument/2006/relationships/hyperlink" Target="http://tariff.epenergy.com/EBB-Tariff/tgp/sheet.asp?sid=302" TargetMode="External"/><Relationship Id="rId4" Type="http://schemas.openxmlformats.org/officeDocument/2006/relationships/hyperlink" Target="http://tariff.epenergy.com/EBB-Tariff/tgp/search.asp" TargetMode="External"/><Relationship Id="rId5" Type="http://schemas.openxmlformats.org/officeDocument/2006/relationships/hyperlink" Target="http://tariff.epenergy.com/EBB-Tariff/tgp/sheet.asp?sid=300" TargetMode="External"/><Relationship Id="rId6" Type="http://schemas.openxmlformats.org/officeDocument/2006/relationships/hyperlink" Target="http://tariff.epenergy.com/EBB-Tariff/tgp/sheet.asp?sid=302" TargetMode="External"/><Relationship Id="rId7" Type="http://schemas.openxmlformats.org/officeDocument/2006/relationships/hyperlink" Target="http://tariff.epenergy.com/EBB-Tariff/tgp/search.asp" TargetMode="External"/><Relationship Id="rId8" Type="http://schemas.openxmlformats.org/officeDocument/2006/relationships/hyperlink" Target="http://tariff.epenergy.com/EBB-Tariff/tgp/sheet.asp?sid=301" TargetMode="External"/><Relationship Id="rId9" Type="http://schemas.openxmlformats.org/officeDocument/2006/relationships/hyperlink" Target="http://tariff.epenergy.com/EBB-Tariff/tgp/sheet.asp?sid=303" TargetMode="External"/><Relationship Id="rId10" Type="http://schemas.openxmlformats.org/officeDocument/2006/relationships/hyperlink" Target="http://tariff.epenergy.com/EBB-Tariff/tgp/search.asp" TargetMode="External"/><Relationship Id="rId11" Type="http://schemas.openxmlformats.org/officeDocument/2006/relationships/hyperlink" Target="http://tariff.epenergy.com/EBB-Tariff/tgp/sheet.asp?sid=301" TargetMode="External"/><Relationship Id="rId12" Type="http://schemas.openxmlformats.org/officeDocument/2006/relationships/hyperlink" Target="http://tariff.epenergy.com/EBB-Tariff/tgp/sheet.asp?sid=303" TargetMode="External"/><Relationship Id="rId13" Type="http://schemas.openxmlformats.org/officeDocument/2006/relationships/hyperlink" Target="http://tariff.epenergy.com/EBB-Tariff/tgp/search.asp" TargetMode="External"/><Relationship Id="rId14" Type="http://schemas.openxmlformats.org/officeDocument/2006/relationships/hyperlink" Target="http://tariff.epenergy.com/EBB-Tariff/tgp/sheet.asp?sid=302" TargetMode="External"/><Relationship Id="rId15" Type="http://schemas.openxmlformats.org/officeDocument/2006/relationships/hyperlink" Target="http://tariff.epenergy.com/EBB-Tariff/tgp/sheet.asp?sid=304" TargetMode="External"/><Relationship Id="rId16" Type="http://schemas.openxmlformats.org/officeDocument/2006/relationships/hyperlink" Target="http://tariff.epenergy.com/EBB-Tariff/tgp/search.asp" TargetMode="External"/><Relationship Id="rId17" Type="http://schemas.openxmlformats.org/officeDocument/2006/relationships/hyperlink" Target="http://tariff.epenergy.com/EBB-Tariff/tgp/sheet.asp?sid=302" TargetMode="External"/><Relationship Id="rId18" Type="http://schemas.openxmlformats.org/officeDocument/2006/relationships/hyperlink" Target="http://tariff.epenergy.com/EBB-Tariff/tgp/sheet.asp?sid=304" TargetMode="External"/><Relationship Id="rId19" Type="http://schemas.openxmlformats.org/officeDocument/2006/relationships/hyperlink" Target="http://tariff.epenergy.com/EBB-Tariff/tgp/search.asp" TargetMode="External"/><Relationship Id="rId20" Type="http://schemas.openxmlformats.org/officeDocument/2006/relationships/hyperlink" Target="http://tariff.epenergy.com/EBB-Tariff/tgp/sheet.asp?sid=303" TargetMode="External"/><Relationship Id="rId21" Type="http://schemas.openxmlformats.org/officeDocument/2006/relationships/hyperlink" Target="http://tariff.epenergy.com/EBB-Tariff/tgp/sheet.asp?sid=305" TargetMode="External"/><Relationship Id="rId22" Type="http://schemas.openxmlformats.org/officeDocument/2006/relationships/hyperlink" Target="http://tariff.epenergy.com/EBB-Tariff/tgp/search.asp" TargetMode="External"/><Relationship Id="rId23" Type="http://schemas.openxmlformats.org/officeDocument/2006/relationships/hyperlink" Target="http://tariff.epenergy.com/EBB-Tariff/tgp/sheet.asp?sid=303" TargetMode="External"/><Relationship Id="rId24" Type="http://schemas.openxmlformats.org/officeDocument/2006/relationships/hyperlink" Target="http://tariff.epenergy.com/EBB-Tariff/tgp/sheet.asp?sid=305" TargetMode="External"/><Relationship Id="rId25" Type="http://schemas.openxmlformats.org/officeDocument/2006/relationships/hyperlink" Target="http://tariff.epenergy.com/EBB-Tariff/tgp/search.asp" TargetMode="External"/><Relationship Id="rId26" Type="http://schemas.openxmlformats.org/officeDocument/2006/relationships/hyperlink" Target="http://tariff.epenergy.com/EBB-Tariff/tgp/sheet.asp?sid=324" TargetMode="External"/><Relationship Id="rId27" Type="http://schemas.openxmlformats.org/officeDocument/2006/relationships/hyperlink" Target="http://tariff.epenergy.com/EBB-Tariff/tgp/sheet.asp?sid=326" TargetMode="External"/><Relationship Id="rId28" Type="http://schemas.openxmlformats.org/officeDocument/2006/relationships/hyperlink" Target="http://tariff.epenergy.com/EBB-Tariff/tgp/search.asp" TargetMode="External"/><Relationship Id="rId29" Type="http://schemas.openxmlformats.org/officeDocument/2006/relationships/hyperlink" Target="http://tariff.epenergy.com/EBB-Tariff/tgp/sheet.asp?sid=324" TargetMode="External"/><Relationship Id="rId30" Type="http://schemas.openxmlformats.org/officeDocument/2006/relationships/hyperlink" Target="http://tariff.epenergy.com/EBB-Tariff/tgp/sheet.asp?sid=326" TargetMode="External"/><Relationship Id="rId31" Type="http://schemas.openxmlformats.org/officeDocument/2006/relationships/hyperlink" Target="http://tariff.epenergy.com/EBB-Tariff/tgp/search.asp" TargetMode="External"/><Relationship Id="rId32" Type="http://schemas.openxmlformats.org/officeDocument/2006/relationships/hyperlink" Target="http://tariff.epenergy.com/EBB-Tariff/tgp/sheet.asp?sid=325" TargetMode="External"/><Relationship Id="rId33" Type="http://schemas.openxmlformats.org/officeDocument/2006/relationships/hyperlink" Target="http://tariff.epenergy.com/EBB-Tariff/tgp/sheet.asp?sid=327" TargetMode="External"/><Relationship Id="rId34" Type="http://schemas.openxmlformats.org/officeDocument/2006/relationships/hyperlink" Target="http://tariff.epenergy.com/EBB-Tariff/tgp/search.asp" TargetMode="External"/><Relationship Id="rId35" Type="http://schemas.openxmlformats.org/officeDocument/2006/relationships/hyperlink" Target="http://tariff.epenergy.com/EBB-Tariff/tgp/sheet.asp?sid=325" TargetMode="External"/><Relationship Id="rId36" Type="http://schemas.openxmlformats.org/officeDocument/2006/relationships/hyperlink" Target="http://tariff.epenergy.com/EBB-Tariff/tgp/sheet.asp?sid=327" TargetMode="External"/><Relationship Id="rId37" Type="http://schemas.openxmlformats.org/officeDocument/2006/relationships/hyperlink" Target="http://tariff.epenergy.com/EBB-Tariff/tgp/search.asp" TargetMode="External"/><Relationship Id="rId38" Type="http://schemas.openxmlformats.org/officeDocument/2006/relationships/hyperlink" Target="http://tariff.epenergy.com/EBB-Tariff/tgp/sheet.asp?sid=326" TargetMode="External"/><Relationship Id="rId39" Type="http://schemas.openxmlformats.org/officeDocument/2006/relationships/hyperlink" Target="http://tariff.epenergy.com/EBB-Tariff/tgp/sheet.asp?sid=328" TargetMode="External"/><Relationship Id="rId40" Type="http://schemas.openxmlformats.org/officeDocument/2006/relationships/hyperlink" Target="http://tariff.epenergy.com/EBB-Tariff/tgp/search.asp" TargetMode="External"/><Relationship Id="rId41" Type="http://schemas.openxmlformats.org/officeDocument/2006/relationships/hyperlink" Target="http://tariff.epenergy.com/EBB-Tariff/tgp/sheet.asp?sid=326" TargetMode="External"/><Relationship Id="rId42" Type="http://schemas.openxmlformats.org/officeDocument/2006/relationships/hyperlink" Target="http://tariff.epenergy.com/EBB-Tariff/tgp/sheet.asp?sid=328" TargetMode="External"/><Relationship Id="rId43" Type="http://schemas.openxmlformats.org/officeDocument/2006/relationships/hyperlink" Target="http://tariff.epenergy.com/EBB-Tariff/tgp/search.asp" TargetMode="Externa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2002-03-06T19:57:00Z</dcterms:created>
  <dc:creator>rconcan</dc:creator>
  <dc:description/>
  <dc:language>en-CA</dc:language>
  <cp:lastModifiedBy>rconcan</cp:lastModifiedBy>
  <cp:lastPrinted>2002-03-06T16:55:00Z</cp:lastPrinted>
  <dcterms:modified xsi:type="dcterms:W3CDTF">2002-03-06T20:32:00Z</dcterms:modified>
  <cp:revision>1</cp:revision>
  <dc:subject/>
  <dc:title>Previous  </dc:title>
</cp:coreProperties>
</file>