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FCC TREATMENT OF MIXED-USE FACILITIES</w:t>
      </w:r>
    </w:p>
    <w:p>
      <w:pPr>
        <w:pStyle w:val="Normal"/>
        <w:rPr>
          <w:lang w:eastAsia="en-US"/>
        </w:rPr>
      </w:pPr>
      <w:r>
        <w:rPr>
          <w:lang w:eastAsia="en-US"/>
        </w:rPr>
      </w:r>
    </w:p>
    <w:p>
      <w:pPr>
        <w:pStyle w:val="Normal"/>
        <w:ind w:firstLine="720" w:end="0"/>
        <w:rPr/>
      </w:pPr>
      <w:r>
        <w:rPr>
          <w:lang w:eastAsia="en-US"/>
        </w:rPr>
        <w:t xml:space="preserve">Section 2(a) of the Act grants the FCC jurisdiction over “all interstate and foreign communication by wire.”  Traffic is deemed interstate “when the communication or transmission originates in any state, territory, possession of the United States, or the District of Columbia and terminates in another state, territory, possession, or the District of Columbia.”  To determine the jurisdictional treatment of a service, the FCC examines two issues.  </w:t>
      </w:r>
      <w:r>
        <w:rPr>
          <w:i/>
          <w:lang w:eastAsia="en-US"/>
        </w:rPr>
        <w:t>See</w:t>
      </w:r>
      <w:r>
        <w:rPr>
          <w:lang w:eastAsia="en-US"/>
        </w:rPr>
        <w:t xml:space="preserve"> </w:t>
      </w:r>
      <w:r>
        <w:rPr>
          <w:i/>
          <w:color w:val="000000"/>
          <w:lang w:eastAsia="en-US"/>
        </w:rPr>
        <w:t>GTE Tel. Operating Cos. GTOC Transmittal No. 1148, Memorandum Opinion and Order</w:t>
      </w:r>
      <w:r>
        <w:rPr>
          <w:color w:val="000000"/>
          <w:lang w:eastAsia="en-US"/>
        </w:rPr>
        <w:t>, 13 FCC Rcd. 22,466, 22,475-81 (1998) (“</w:t>
      </w:r>
      <w:r>
        <w:rPr>
          <w:i/>
          <w:color w:val="000000"/>
          <w:lang w:eastAsia="en-US"/>
        </w:rPr>
        <w:t>GTE DSL Order</w:t>
      </w:r>
      <w:r>
        <w:rPr>
          <w:color w:val="000000"/>
          <w:lang w:eastAsia="en-US"/>
        </w:rPr>
        <w:t xml:space="preserve">”), </w:t>
      </w:r>
      <w:r>
        <w:rPr>
          <w:i/>
          <w:lang w:eastAsia="en-US"/>
        </w:rPr>
        <w:t>aff’d on recon., Memorandum Opinion and Order</w:t>
      </w:r>
      <w:r>
        <w:rPr>
          <w:lang w:eastAsia="en-US"/>
        </w:rPr>
        <w:t>, FCC 99-41, CC Docket No. 98-79 (rel. Feb. 26, 1999).</w:t>
      </w:r>
    </w:p>
    <w:p>
      <w:pPr>
        <w:pStyle w:val="Normal"/>
        <w:rPr>
          <w:lang w:eastAsia="en-US"/>
        </w:rPr>
      </w:pPr>
      <w:r>
        <w:rPr>
          <w:lang w:eastAsia="en-US"/>
        </w:rPr>
      </w:r>
    </w:p>
    <w:p>
      <w:pPr>
        <w:pStyle w:val="Normal"/>
        <w:ind w:firstLine="360" w:end="0"/>
        <w:rPr/>
      </w:pPr>
      <w:r>
        <w:rPr>
          <w:i/>
          <w:lang w:eastAsia="en-US"/>
        </w:rPr>
        <w:t>First</w:t>
      </w:r>
      <w:r>
        <w:rPr>
          <w:lang w:eastAsia="en-US"/>
        </w:rPr>
        <w:t>, the FCC must identify the end-to-end communication.  The FCC has traditionally rejected arguments that intermediate facilities render a transmission into separate intrastate and interstate transmission, rather than one integrated interstate transmission.</w:t>
      </w:r>
    </w:p>
    <w:p>
      <w:pPr>
        <w:pStyle w:val="Normal"/>
        <w:rPr>
          <w:lang w:eastAsia="en-US"/>
        </w:rPr>
      </w:pPr>
      <w:r>
        <w:rPr>
          <w:lang w:eastAsia="en-US"/>
        </w:rPr>
      </w:r>
    </w:p>
    <w:p>
      <w:pPr>
        <w:pStyle w:val="Normal"/>
        <w:numPr>
          <w:ilvl w:val="0"/>
          <w:numId w:val="5"/>
        </w:numPr>
        <w:rPr>
          <w:lang w:eastAsia="en-US"/>
        </w:rPr>
      </w:pPr>
      <w:r>
        <w:rPr>
          <w:lang w:eastAsia="en-US"/>
        </w:rPr>
        <w:t xml:space="preserve">In the </w:t>
      </w:r>
      <w:r>
        <w:rPr>
          <w:i/>
          <w:lang w:eastAsia="en-US"/>
        </w:rPr>
        <w:t>Teleconnect Order</w:t>
      </w:r>
      <w:r>
        <w:rPr>
          <w:lang w:eastAsia="en-US"/>
        </w:rPr>
        <w:t xml:space="preserve">, the FCC considered the jurisdictional nature of an 800 service where the </w:t>
      </w:r>
      <w:r>
        <w:rPr>
          <w:color w:val="000000"/>
          <w:lang w:eastAsia="en-US"/>
        </w:rPr>
        <w:t xml:space="preserve">call was initiated by an end user from a common line open end, routed through a LEC to an AT&amp;T line, transferred from AT&amp;T to Teleconnect by another LEC, and then routed by Teleconnect to the end user through the LEC.  </w:t>
      </w:r>
      <w:r>
        <w:rPr>
          <w:i/>
          <w:color w:val="000000"/>
          <w:lang w:eastAsia="en-US"/>
        </w:rPr>
        <w:t>Teleconnect Company. v. Bell Telephone Company of Penn.</w:t>
      </w:r>
      <w:r>
        <w:rPr>
          <w:color w:val="000000"/>
          <w:lang w:eastAsia="en-US"/>
        </w:rPr>
        <w:t>, 10 FCC Rcd. 1626 (1995).</w:t>
      </w:r>
      <w:r>
        <w:rPr>
          <w:lang w:eastAsia="en-US"/>
        </w:rPr>
        <w:t xml:space="preserve">  The FCC concluded that that “an interstate communication does not end at an intermediate switch. . . . . The interstate communication itself extends from the inception of a call to its completion, regardless of any intermediate facilities.”  </w:t>
      </w:r>
      <w:r>
        <w:rPr>
          <w:i/>
          <w:lang w:eastAsia="en-US"/>
        </w:rPr>
        <w:t>Id.</w:t>
      </w:r>
      <w:r>
        <w:rPr>
          <w:lang w:eastAsia="en-US"/>
        </w:rPr>
        <w:t xml:space="preserve"> at 1628.</w:t>
      </w:r>
    </w:p>
    <w:p>
      <w:pPr>
        <w:pStyle w:val="Normal"/>
        <w:rPr>
          <w:lang w:eastAsia="en-US"/>
        </w:rPr>
      </w:pPr>
      <w:r>
        <w:rPr>
          <w:lang w:eastAsia="en-US"/>
        </w:rPr>
      </w:r>
    </w:p>
    <w:p>
      <w:pPr>
        <w:pStyle w:val="Normal"/>
        <w:numPr>
          <w:ilvl w:val="0"/>
          <w:numId w:val="6"/>
        </w:numPr>
        <w:rPr>
          <w:lang w:eastAsia="en-US"/>
        </w:rPr>
      </w:pPr>
      <w:r>
        <w:rPr>
          <w:lang w:eastAsia="en-US"/>
        </w:rPr>
        <w:t xml:space="preserve">In the </w:t>
      </w:r>
      <w:r>
        <w:rPr>
          <w:i/>
          <w:lang w:eastAsia="en-US"/>
        </w:rPr>
        <w:t>BellSouth MemoryCall Order</w:t>
      </w:r>
      <w:r>
        <w:rPr>
          <w:lang w:eastAsia="en-US"/>
        </w:rPr>
        <w:t xml:space="preserve">, the FCC considered the jurisdictional nature of traffic that consisted of (1) an incoming interstate transmission to the switch serving a voice mail subscriber and (2) an intrastate transmission of that message from that switch to the voice mail apparatus.  </w:t>
      </w:r>
      <w:r>
        <w:rPr>
          <w:i/>
          <w:lang w:eastAsia="en-US"/>
        </w:rPr>
        <w:t>BellSouth Corporation</w:t>
      </w:r>
      <w:r>
        <w:rPr>
          <w:lang w:eastAsia="en-US"/>
        </w:rPr>
        <w:t xml:space="preserve">, 7 FCC Rcd. 1619 (1992).  The FCC concluded that the entire transmission constituted one interstate call, because “there is a continuous path of communications across state lines between the caller and the voice mail service.”  </w:t>
      </w:r>
      <w:r>
        <w:rPr>
          <w:i/>
          <w:lang w:eastAsia="en-US"/>
        </w:rPr>
        <w:t>Id.</w:t>
      </w:r>
      <w:r>
        <w:rPr>
          <w:lang w:eastAsia="en-US"/>
        </w:rPr>
        <w:t xml:space="preserve"> at 1620.</w:t>
      </w:r>
    </w:p>
    <w:p>
      <w:pPr>
        <w:pStyle w:val="Normal"/>
        <w:rPr>
          <w:lang w:eastAsia="en-US"/>
        </w:rPr>
      </w:pPr>
      <w:r>
        <w:rPr>
          <w:lang w:eastAsia="en-US"/>
        </w:rPr>
      </w:r>
    </w:p>
    <w:p>
      <w:pPr>
        <w:pStyle w:val="Normal"/>
        <w:numPr>
          <w:ilvl w:val="0"/>
          <w:numId w:val="4"/>
        </w:numPr>
        <w:rPr>
          <w:lang w:eastAsia="en-US"/>
        </w:rPr>
      </w:pPr>
      <w:r>
        <w:rPr>
          <w:lang w:eastAsia="en-US"/>
        </w:rPr>
        <w:t xml:space="preserve">Most recently, in the </w:t>
      </w:r>
      <w:r>
        <w:rPr>
          <w:i/>
          <w:lang w:eastAsia="en-US"/>
        </w:rPr>
        <w:t>GTE DSL Order</w:t>
      </w:r>
      <w:r>
        <w:rPr>
          <w:lang w:eastAsia="en-US"/>
        </w:rPr>
        <w:t>, the FCC found that the communications in GTE’s ADSL service (which GTE sought to tariff at the federal level) “do</w:t>
      </w:r>
      <w:r>
        <w:rPr>
          <w:color w:val="000000"/>
          <w:lang w:eastAsia="en-US"/>
        </w:rPr>
        <w:t xml:space="preserve"> not terminate at the ISP’s local server, as some competitive LECs and ISPs contend, but continue to the ultimate destination or destinations, very often at a distant Internet website accessed by the end user</w:t>
      </w:r>
      <w:r>
        <w:rPr>
          <w:lang w:eastAsia="en-US"/>
        </w:rPr>
        <w:t xml:space="preserve">.”  </w:t>
      </w:r>
      <w:r>
        <w:rPr>
          <w:i/>
          <w:color w:val="000000"/>
          <w:lang w:eastAsia="en-US"/>
        </w:rPr>
        <w:t>GTE DSL Order</w:t>
      </w:r>
      <w:r>
        <w:rPr>
          <w:color w:val="000000"/>
          <w:lang w:eastAsia="en-US"/>
        </w:rPr>
        <w:t>, 13 FCC Rcd. at 22,476.</w:t>
      </w:r>
    </w:p>
    <w:p>
      <w:pPr>
        <w:pStyle w:val="Normal"/>
        <w:rPr>
          <w:lang w:eastAsia="en-US"/>
        </w:rPr>
      </w:pPr>
      <w:r>
        <w:rPr>
          <w:lang w:eastAsia="en-US"/>
        </w:rPr>
      </w:r>
    </w:p>
    <w:p>
      <w:pPr>
        <w:pStyle w:val="Normal"/>
        <w:ind w:firstLine="360" w:end="0"/>
        <w:rPr/>
      </w:pPr>
      <w:r>
        <w:rPr>
          <w:i/>
          <w:lang w:eastAsia="en-US"/>
        </w:rPr>
        <w:t>Second</w:t>
      </w:r>
      <w:r>
        <w:rPr>
          <w:lang w:eastAsia="en-US"/>
        </w:rPr>
        <w:t xml:space="preserve">, the FCC must determine if the end-to-end communication is interstate in nature.  The FCC applies its traditional </w:t>
      </w:r>
      <w:r>
        <w:rPr>
          <w:i/>
          <w:lang w:eastAsia="en-US"/>
        </w:rPr>
        <w:t>de minimis</w:t>
      </w:r>
      <w:r>
        <w:rPr>
          <w:lang w:eastAsia="en-US"/>
        </w:rPr>
        <w:t>, or ten-percent, test to determine whether a transmission is intrastate or interstate in nature.</w:t>
      </w:r>
    </w:p>
    <w:p>
      <w:pPr>
        <w:pStyle w:val="Normal"/>
        <w:rPr>
          <w:lang w:eastAsia="en-US"/>
        </w:rPr>
      </w:pPr>
      <w:r>
        <w:rPr>
          <w:lang w:eastAsia="en-US"/>
        </w:rPr>
      </w:r>
    </w:p>
    <w:p>
      <w:pPr>
        <w:pStyle w:val="Normal"/>
        <w:numPr>
          <w:ilvl w:val="0"/>
          <w:numId w:val="3"/>
        </w:numPr>
        <w:rPr>
          <w:i/>
          <w:i/>
          <w:lang w:eastAsia="en-US"/>
        </w:rPr>
      </w:pPr>
      <w:r>
        <w:rPr>
          <w:lang w:eastAsia="en-US"/>
        </w:rPr>
        <w:t xml:space="preserve">In the </w:t>
      </w:r>
      <w:r>
        <w:rPr>
          <w:i/>
          <w:color w:val="000000"/>
          <w:lang w:eastAsia="en-US"/>
        </w:rPr>
        <w:t>MTS/WATS Market Structure Order</w:t>
      </w:r>
      <w:r>
        <w:rPr>
          <w:lang w:eastAsia="en-US"/>
        </w:rPr>
        <w:t>, the FCC adopted the Joint Board’s recommendation that “mixed-use” special access lines (</w:t>
      </w:r>
      <w:r>
        <w:rPr>
          <w:i/>
          <w:lang w:eastAsia="en-US"/>
        </w:rPr>
        <w:t>i.e</w:t>
      </w:r>
      <w:r>
        <w:rPr>
          <w:lang w:eastAsia="en-US"/>
        </w:rPr>
        <w:t xml:space="preserve">., lines carrying both intrastate and interstate traffic) are subject to the FCC’s jurisdiction where it is not possible to separate the uses of the special access lines by jurisdiction.  </w:t>
      </w:r>
      <w:r>
        <w:rPr>
          <w:i/>
          <w:color w:val="000000"/>
          <w:lang w:eastAsia="en-US"/>
        </w:rPr>
        <w:t>MTS and WATS Market Structure, Memorandum Opinion &amp; Order</w:t>
      </w:r>
      <w:r>
        <w:rPr>
          <w:color w:val="000000"/>
          <w:lang w:eastAsia="en-US"/>
        </w:rPr>
        <w:t xml:space="preserve">, 97 FCC 2d 682, 711 (1983).  </w:t>
      </w:r>
      <w:r>
        <w:rPr>
          <w:lang w:eastAsia="en-US"/>
        </w:rPr>
        <w:t xml:space="preserve">The FCC found that special access lines carrying more than </w:t>
      </w:r>
      <w:r>
        <w:rPr>
          <w:i/>
          <w:lang w:eastAsia="en-US"/>
        </w:rPr>
        <w:t>de minimis</w:t>
      </w:r>
      <w:r>
        <w:rPr>
          <w:lang w:eastAsia="en-US"/>
        </w:rPr>
        <w:t xml:space="preserve"> amounts of interstate traffic to private line systems should be assigned to the interstate jurisdiction.  Interstate traffic is deemed </w:t>
      </w:r>
      <w:r>
        <w:rPr>
          <w:i/>
          <w:lang w:eastAsia="en-US"/>
        </w:rPr>
        <w:t>de minimis</w:t>
      </w:r>
      <w:r>
        <w:rPr>
          <w:lang w:eastAsia="en-US"/>
        </w:rPr>
        <w:t xml:space="preserve"> when it amounts to ten percent or less of the total traffic on a special access line.  </w:t>
      </w:r>
      <w:r>
        <w:rPr>
          <w:i/>
          <w:lang w:eastAsia="en-US"/>
        </w:rPr>
        <w:t>Id.</w:t>
      </w:r>
    </w:p>
    <w:p>
      <w:pPr>
        <w:pStyle w:val="Normal"/>
        <w:rPr>
          <w:i/>
          <w:i/>
          <w:lang w:eastAsia="en-US"/>
        </w:rPr>
      </w:pPr>
      <w:r>
        <w:rPr>
          <w:i/>
          <w:lang w:eastAsia="en-US"/>
        </w:rPr>
      </w:r>
    </w:p>
    <w:p>
      <w:pPr>
        <w:pStyle w:val="Normal"/>
        <w:numPr>
          <w:ilvl w:val="0"/>
          <w:numId w:val="2"/>
        </w:numPr>
        <w:rPr/>
      </w:pPr>
      <w:r>
        <w:rPr>
          <w:lang w:eastAsia="en-US"/>
        </w:rPr>
        <w:t xml:space="preserve">In the </w:t>
      </w:r>
      <w:r>
        <w:rPr>
          <w:i/>
          <w:lang w:eastAsia="en-US"/>
        </w:rPr>
        <w:t>GTE DSL Order</w:t>
      </w:r>
      <w:r>
        <w:rPr>
          <w:lang w:eastAsia="en-US"/>
        </w:rPr>
        <w:t xml:space="preserve">, the FCC found that GTE’s ADSL service was a special access service warranting federal regulation under the “ten percent” rule.  “Like the point-to-point private line service high volume telephony customers purchase for direct access to IXCs’ networks, GTE’s ADSL service provides end users with a direct access to their selected ISPs, over a connection that is dedicated to ISP access.  This dedicated access enables end users to avoid the problems associated with circuit-switched, dial-up access, such as long holding times and inability to connect to the Internet due to network congestion. The ADSL service also is similar to traditional private line services in that both services may carry interstate and intrastate traffic, and both services provide direct access from an end user to a service provider’s (ISP or IXC) point of presence. . . . </w:t>
      </w:r>
      <w:r>
        <w:rPr>
          <w:color w:val="000000"/>
          <w:lang w:eastAsia="en-US"/>
        </w:rPr>
        <w:t xml:space="preserve">Furthermore, as discussed above, we conclude that more than a </w:t>
      </w:r>
      <w:r>
        <w:rPr>
          <w:i/>
          <w:color w:val="000000"/>
          <w:lang w:eastAsia="en-US"/>
        </w:rPr>
        <w:t>de minimis</w:t>
      </w:r>
      <w:r>
        <w:rPr>
          <w:color w:val="000000"/>
          <w:lang w:eastAsia="en-US"/>
        </w:rPr>
        <w:t xml:space="preserve"> amount of Internet traffic is destined for websites in other states or other countries, even though it may not be possible to ascertain the destination of any particular transmission.  For these reasons, we conclude that GTE’s ADSL service is subject to federal jurisdiction under the Commission’s mixed-use facilities rule.</w:t>
      </w:r>
      <w:r>
        <w:rPr>
          <w:lang w:eastAsia="en-US"/>
        </w:rPr>
        <w:t xml:space="preserve">”  </w:t>
      </w:r>
      <w:r>
        <w:rPr>
          <w:i/>
          <w:lang w:eastAsia="en-US"/>
        </w:rPr>
        <w:t>GTE DSL Order</w:t>
      </w:r>
      <w:r>
        <w:rPr>
          <w:lang w:eastAsia="en-US"/>
        </w:rPr>
        <w:t>, 13 FCC Rcd. at 22,480.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ind w:firstLine="36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2000-11-01T19:02:00Z</dcterms:created>
  <dc:creator>Harris, Wiltshire &amp; Grannis</dc:creator>
  <dc:description/>
  <dc:language>en-CA</dc:language>
  <cp:lastModifiedBy>Harris, Wiltshire &amp; Grannis</cp:lastModifiedBy>
  <dcterms:modified xsi:type="dcterms:W3CDTF">2000-11-01T19:45:00Z</dcterms:modified>
  <cp:revision>41</cp:revision>
  <dc:subject/>
  <dc:title>Section 2(a) of the Act grants the FCC jurisdiction over “all interstate and foreign communication by wire</dc:title>
</cp:coreProperties>
</file>