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end"/>
        <w:rPr>
          <w:b/>
          <w:sz w:val="24"/>
        </w:rPr>
      </w:pPr>
      <w:r>
        <w:rPr>
          <w:b/>
          <w:sz w:val="24"/>
        </w:rPr>
      </w:r>
    </w:p>
    <w:p>
      <w:pPr>
        <w:pStyle w:val="Normal"/>
        <w:jc w:val="end"/>
        <w:rPr>
          <w:b/>
          <w:smallCaps/>
          <w:sz w:val="24"/>
        </w:rPr>
      </w:pPr>
      <w:r>
        <w:rPr>
          <w:b/>
          <w:sz w:val="24"/>
        </w:rPr>
        <w:t>GENERAL GUARANTEE</w:t>
      </w:r>
    </w:p>
    <w:p>
      <w:pPr>
        <w:pStyle w:val="Normal"/>
        <w:jc w:val="both"/>
        <w:rPr>
          <w:b/>
          <w:smallCaps/>
          <w:sz w:val="24"/>
        </w:rPr>
      </w:pPr>
      <w:r>
        <w:rPr>
          <w:b/>
          <w:smallCaps/>
          <w:sz w:val="24"/>
        </w:rPr>
      </w:r>
    </w:p>
    <w:p>
      <w:pPr>
        <w:pStyle w:val="Normal"/>
        <w:jc w:val="both"/>
        <w:rPr/>
      </w:pPr>
      <w:r>
        <w:rPr>
          <w:b/>
          <w:smallCaps/>
          <w:sz w:val="24"/>
        </w:rPr>
        <w:t>Guarantee</w:t>
      </w:r>
      <w:r>
        <w:rPr>
          <w:sz w:val="24"/>
        </w:rPr>
        <w:t>, dated as of _____________, 200_, of SALOMON SMITH BARNEY HOLDINGS INC., 388 Greenwich Street, New York, New York 10013, a New York corporation (the "Guarantor"), in favor of the following companies:</w:t>
      </w:r>
    </w:p>
    <w:p>
      <w:pPr>
        <w:pStyle w:val="Normal"/>
        <w:jc w:val="both"/>
        <w:rPr>
          <w:sz w:val="24"/>
        </w:rPr>
      </w:pPr>
      <w:r>
        <w:rPr>
          <w:sz w:val="24"/>
        </w:rPr>
      </w:r>
    </w:p>
    <w:p>
      <w:pPr>
        <w:pStyle w:val="Normal"/>
        <w:ind w:firstLine="720" w:end="0"/>
        <w:jc w:val="both"/>
        <w:rPr>
          <w:sz w:val="24"/>
        </w:rPr>
      </w:pPr>
      <w:r>
        <w:rPr>
          <w:sz w:val="24"/>
        </w:rPr>
        <w:t>___________________________ ([each,] the "Counterparty").</w:t>
      </w:r>
    </w:p>
    <w:p>
      <w:pPr>
        <w:pStyle w:val="Normal"/>
        <w:ind w:firstLine="720" w:end="0"/>
        <w:jc w:val="both"/>
        <w:rPr>
          <w:i/>
          <w:i/>
          <w:sz w:val="24"/>
        </w:rPr>
      </w:pPr>
      <w:r>
        <w:rPr>
          <w:i/>
          <w:sz w:val="24"/>
        </w:rPr>
        <w:t>[For multiple Counterparties, designate one Counterparty as the “Representative”]</w:t>
      </w:r>
    </w:p>
    <w:p>
      <w:pPr>
        <w:pStyle w:val="Normal"/>
        <w:jc w:val="both"/>
        <w:rPr>
          <w:i/>
          <w:i/>
          <w:sz w:val="24"/>
        </w:rPr>
      </w:pPr>
      <w:r>
        <w:rPr>
          <w:i/>
          <w:sz w:val="24"/>
        </w:rPr>
      </w:r>
    </w:p>
    <w:p>
      <w:pPr>
        <w:pStyle w:val="Normal"/>
        <w:tabs>
          <w:tab w:val="clear" w:pos="720"/>
          <w:tab w:val="left" w:pos="-720" w:leader="none"/>
        </w:tabs>
        <w:suppressAutoHyphens w:val="true"/>
        <w:jc w:val="both"/>
        <w:rPr/>
      </w:pPr>
      <w:r>
        <w:rPr>
          <w:sz w:val="24"/>
        </w:rPr>
        <w:t>1.</w:t>
        <w:tab/>
      </w:r>
      <w:r>
        <w:rPr>
          <w:b/>
          <w:sz w:val="24"/>
        </w:rPr>
        <w:t>Guarantee.</w:t>
      </w:r>
      <w:r>
        <w:rPr>
          <w:sz w:val="24"/>
        </w:rPr>
        <w:t xml:space="preserve">  In consideration of the Counterparty having entered into, or entering into, contracts for the </w:t>
      </w:r>
      <w:r>
        <w:rPr>
          <w:spacing w:val="-3"/>
          <w:sz w:val="24"/>
        </w:rPr>
        <w:t>sale, purchase, exchange, transportation, commodity price swap, commodity option transaction, or other similar transactions with respect to crude oil, oil products, natural gas liquids, liquefied petroleum gas, natural gas, electricity, precious metals, base metals or other commodities (hereinafter referred to as "Guaranteed Contracts") with any one or more of the following subsidiaries of the Guarantor:</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Phibro Inc.</w:t>
      </w:r>
    </w:p>
    <w:p>
      <w:pPr>
        <w:pStyle w:val="Normal"/>
        <w:tabs>
          <w:tab w:val="clear" w:pos="720"/>
          <w:tab w:val="left" w:pos="-720" w:leader="none"/>
        </w:tabs>
        <w:suppressAutoHyphens w:val="true"/>
        <w:jc w:val="both"/>
        <w:rPr>
          <w:spacing w:val="-3"/>
          <w:sz w:val="24"/>
        </w:rPr>
      </w:pPr>
      <w:r>
        <w:rPr>
          <w:spacing w:val="-3"/>
          <w:sz w:val="24"/>
        </w:rPr>
        <w:tab/>
        <w:t>Phibro GmbH</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pPr>
      <w:r>
        <w:rPr>
          <w:spacing w:val="-3"/>
          <w:sz w:val="24"/>
        </w:rPr>
        <w:t xml:space="preserve">(the above-listed companies hereinafter referred to as the “Phibro Companies”), </w:t>
      </w:r>
      <w:r>
        <w:rPr>
          <w:sz w:val="24"/>
        </w:rPr>
        <w:t>the Guarantor absolutely and unconditionally guarantees to the Counterparty, its successors and permitted assigns, the prompt payment within two Business Days after demand of all amounts payable by the Phibro Companies under the Guaranteed Contracts, whether due or to become due, secured or unsecured, joint or several (the "Obligations") all without regard to any counterclaim, set-off, deduction or defense of any kind which the Phibro Companies or</w:t>
      </w:r>
      <w:r>
        <w:rPr>
          <w:i/>
          <w:color w:val="FF0000"/>
          <w:sz w:val="24"/>
        </w:rPr>
        <w:t xml:space="preserve"> </w:t>
      </w:r>
      <w:r>
        <w:rPr>
          <w:sz w:val="24"/>
        </w:rPr>
        <w:t xml:space="preserve">the Guarantor may have or assert, and without abatement, suspension, deferment or diminution on account of any event or condition whatsoever; </w:t>
      </w:r>
      <w:r>
        <w:rPr>
          <w:sz w:val="24"/>
          <w:u w:val="single"/>
        </w:rPr>
        <w:t>provided</w:t>
      </w:r>
      <w:r>
        <w:rPr>
          <w:sz w:val="24"/>
        </w:rPr>
        <w:t xml:space="preserve"> </w:t>
      </w:r>
      <w:r>
        <w:rPr>
          <w:sz w:val="24"/>
          <w:u w:val="single"/>
        </w:rPr>
        <w:t>however</w:t>
      </w:r>
      <w:r>
        <w:rPr>
          <w:sz w:val="24"/>
        </w:rPr>
        <w:t xml:space="preserve">, that Guarantor’s obligations under this Guarantee shall be subject to such defenses, rights to set-off, counterclaim or withhold payment as may be available to the Phibro Companies by applicable law or as provided in the Guaranteed Contracts.  Any capitalized term used herein and not otherwise defined shall have the meaning assigned to it in the Guaranteed Contracts. </w:t>
      </w:r>
    </w:p>
    <w:p>
      <w:pPr>
        <w:pStyle w:val="Normal"/>
        <w:jc w:val="both"/>
        <w:rPr>
          <w:sz w:val="24"/>
        </w:rPr>
      </w:pPr>
      <w:r>
        <w:rPr>
          <w:sz w:val="24"/>
        </w:rPr>
      </w:r>
    </w:p>
    <w:p>
      <w:pPr>
        <w:pStyle w:val="Normal"/>
        <w:jc w:val="both"/>
        <w:rPr/>
      </w:pPr>
      <w:r>
        <w:rPr>
          <w:sz w:val="24"/>
        </w:rPr>
        <w:t>2.</w:t>
        <w:tab/>
      </w:r>
      <w:r>
        <w:rPr>
          <w:b/>
          <w:sz w:val="24"/>
        </w:rPr>
        <w:t>Nature of Guarantee.</w:t>
      </w:r>
      <w:r>
        <w:rPr>
          <w:sz w:val="24"/>
        </w:rPr>
        <w:t xml:space="preserve">  This Guarantee is a guarantee of payment and not of collection.  The Counterparty shall not be obligated, as a condition precedent to performance by the Guarantor hereunder, to file any claim relating to the Obligations in the event that any of the Phibro Companies becomes subject to a bankruptcy, reorganization or similar proceeding, and the failure of the Counterparty to file a claim shall not affect the Guarantor's obligations hereunder.  This Guarantee shall continue to be effective or be reinstated if any payment to the Counterparty by the Phibro Companies on account of any Obligation is returned to the Phibro Companies or is rescinded upon the insolvency, bankruptcy or reorganization of the Phibro Companies. The Guarantor agrees to pay within two Business Days after demand all reasonable out-of-pocket expenses (including the reasonable fees and expenses of counsel) incurred in enforcing the rights of the Counterparty hereunder but only (i) to the extent that such expenses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 xml:space="preserve">are incurred after demand under the Guarantee has been duly made and not honored in a timely manner and (ii) if the Counterparty is the prevailing party. In no event shall the Guarantor’s aggregate liability under this Guarantee exceed </w:t>
      </w:r>
      <w:r>
        <w:rPr>
          <w:b/>
          <w:sz w:val="24"/>
        </w:rPr>
        <w:t>US$ _________ Million</w:t>
      </w:r>
      <w:r>
        <w:rPr>
          <w:sz w:val="24"/>
        </w:rPr>
        <w:t>.</w:t>
      </w:r>
    </w:p>
    <w:p>
      <w:pPr>
        <w:pStyle w:val="Normal"/>
        <w:jc w:val="both"/>
        <w:rPr>
          <w:sz w:val="24"/>
        </w:rPr>
      </w:pPr>
      <w:r>
        <w:rPr>
          <w:sz w:val="24"/>
        </w:rPr>
      </w:r>
    </w:p>
    <w:p>
      <w:pPr>
        <w:pStyle w:val="Normal"/>
        <w:jc w:val="both"/>
        <w:rPr/>
      </w:pPr>
      <w:r>
        <w:rPr>
          <w:sz w:val="24"/>
        </w:rPr>
        <w:t>3.</w:t>
        <w:tab/>
      </w:r>
      <w:r>
        <w:rPr>
          <w:b/>
          <w:sz w:val="24"/>
        </w:rPr>
        <w:t>Consents, Waivers and Renewals.</w:t>
      </w:r>
      <w:r>
        <w:rPr>
          <w:sz w:val="24"/>
        </w:rPr>
        <w:t xml:space="preserve">  The Guarantor agrees that the Counterparty may at any time and from time to time, either before or after the maturity thereof, without notice to or further consent of the Guarantor, change the time, manner or place of payment or any other term of, any Obligation, exchange, release, nonperfect or surrender any collateral for, or renew or change any term of any of the Obligations owing to it, and may also enter into a written agreement with the Phibro Companies or with any other party to the Guaranteed Contracts or person liable on any Obligation, or interested therein, for the extension, renewal, payment, compromise, modification, waiver, discharge or release thereof, in whole or in part, without impairing or affecting this Guarantee.  The obligations of the Guarantor under this Guarantee are unconditional, irrespective of the value, genuineness, validity, or enforceability of the Obligations, and, to the fullest extent permitted by applicable law, any other circumstance which might constitute a defense available to, or a discharge of, the Guarantor, except as otherwise set forth in Section 1 above. The Guarantor agrees that the Counterparty may have recourse to the Guarantor for payment of any of the Obligations, whether or not the Counterparty has proceeded against any collateral security or any obligor principally or secondarily obligated for any Obligation.  The Guarantor waives demand, promptness, diligence and all notices that may be required by law or to perfect the Counterparty's rights hereunder except notice to the Guarantor of a default by the Phibro Companies under the Guaranteed Contracts</w:t>
      </w:r>
      <w:r>
        <w:rPr>
          <w:sz w:val="24"/>
          <w:lang w:val="en-US" w:eastAsia="en-US"/>
        </w:rPr>
        <w:t>, provided any delay in the delivery of notice shall in no way invalidate the enforceability of this Guarantee</w:t>
      </w:r>
      <w:r>
        <w:rPr>
          <w:sz w:val="24"/>
        </w:rPr>
        <w:t>.  No failure, delay or single or partial exercise by the Counterparty of its rights or remedies hereunder shall operate as a waiver of such rights or remedies.  All rights and remedies hereunder or allowed by law shall be cumulative and exercisable from time to time.</w:t>
      </w:r>
    </w:p>
    <w:p>
      <w:pPr>
        <w:pStyle w:val="Normal"/>
        <w:jc w:val="both"/>
        <w:rPr>
          <w:sz w:val="24"/>
        </w:rPr>
      </w:pPr>
      <w:r>
        <w:rPr>
          <w:sz w:val="24"/>
        </w:rPr>
      </w:r>
    </w:p>
    <w:p>
      <w:pPr>
        <w:pStyle w:val="Normal"/>
        <w:jc w:val="both"/>
        <w:rPr/>
      </w:pPr>
      <w:r>
        <w:rPr>
          <w:sz w:val="24"/>
        </w:rPr>
        <w:t>4.</w:t>
        <w:tab/>
      </w:r>
      <w:r>
        <w:rPr>
          <w:b/>
          <w:sz w:val="24"/>
        </w:rPr>
        <w:t>Representations and Warranties.</w:t>
      </w:r>
      <w:r>
        <w:rPr>
          <w:sz w:val="24"/>
        </w:rPr>
        <w:t xml:space="preserve">  The Guarantor hereby represents and warrants that:</w:t>
      </w:r>
    </w:p>
    <w:p>
      <w:pPr>
        <w:pStyle w:val="Normal"/>
        <w:jc w:val="both"/>
        <w:rPr>
          <w:sz w:val="24"/>
        </w:rPr>
      </w:pPr>
      <w:r>
        <w:rPr>
          <w:sz w:val="24"/>
        </w:rPr>
      </w:r>
    </w:p>
    <w:p>
      <w:pPr>
        <w:pStyle w:val="Normal"/>
        <w:ind w:hanging="720" w:start="1440" w:end="0"/>
        <w:jc w:val="both"/>
        <w:rPr>
          <w:sz w:val="24"/>
        </w:rPr>
      </w:pPr>
      <w:r>
        <w:rPr>
          <w:sz w:val="24"/>
        </w:rPr>
        <w:t>(i)</w:t>
        <w:tab/>
        <w:t xml:space="preserve">the Guarantor is duly organized, validly existing and in good standing under the laws of the State of New York; </w:t>
      </w:r>
    </w:p>
    <w:p>
      <w:pPr>
        <w:pStyle w:val="Normal"/>
        <w:ind w:hanging="720" w:start="1440" w:end="0"/>
        <w:jc w:val="both"/>
        <w:rPr>
          <w:sz w:val="24"/>
        </w:rPr>
      </w:pPr>
      <w:r>
        <w:rPr>
          <w:sz w:val="24"/>
        </w:rPr>
        <w:t>(ii)</w:t>
        <w:tab/>
        <w:t>the Guarantor has the requisite corporate power and authority to issue this Guarantee and to perform its obligations hereunder, and has duly authorized, executed and delivered this Guarantee;</w:t>
      </w:r>
    </w:p>
    <w:p>
      <w:pPr>
        <w:pStyle w:val="Normal"/>
        <w:ind w:hanging="720" w:start="1440" w:end="0"/>
        <w:jc w:val="both"/>
        <w:rPr>
          <w:sz w:val="24"/>
        </w:rPr>
      </w:pPr>
      <w:r>
        <w:rPr>
          <w:sz w:val="24"/>
        </w:rPr>
        <w:t>(iii)</w:t>
        <w:tab/>
        <w:t>the Guarantor is not required to obtain any authorization, consent, approval, exemption or license from, or to file any registration with, any government authority  as a condition to the validity of, or to the execution, delivery or performance of, this Guarantee;</w:t>
      </w:r>
    </w:p>
    <w:p>
      <w:pPr>
        <w:pStyle w:val="Normal"/>
        <w:numPr>
          <w:ilvl w:val="0"/>
          <w:numId w:val="1"/>
        </w:numPr>
        <w:jc w:val="both"/>
        <w:rPr>
          <w:sz w:val="24"/>
        </w:rPr>
      </w:pPr>
      <w:r>
        <w:rPr>
          <w:sz w:val="24"/>
        </w:rPr>
        <w:t xml:space="preserve">as of the date of this Guarantee, there is no action, suit or proceeding pending or threatened against the Guarantor before any court or arbitrator or any governmental body, agency or official in which there is a reasonable possibility of an adverse decision which could affect, in a materially adverse manner, the ability </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r>
    </w:p>
    <w:p>
      <w:pPr>
        <w:pStyle w:val="Normal"/>
        <w:ind w:start="1440" w:end="0"/>
        <w:jc w:val="both"/>
        <w:rPr>
          <w:sz w:val="24"/>
        </w:rPr>
      </w:pPr>
      <w:r>
        <w:rPr>
          <w:sz w:val="24"/>
        </w:rPr>
      </w:r>
    </w:p>
    <w:p>
      <w:pPr>
        <w:pStyle w:val="Normal"/>
        <w:ind w:start="1440" w:end="0"/>
        <w:jc w:val="both"/>
        <w:rPr>
          <w:sz w:val="24"/>
        </w:rPr>
      </w:pPr>
      <w:r>
        <w:rPr>
          <w:sz w:val="24"/>
        </w:rPr>
        <w:t xml:space="preserve">of the Guarantor to perform any of its obligations under, or which in any manner questions the validity of, this Guarantee; </w:t>
      </w:r>
    </w:p>
    <w:p>
      <w:pPr>
        <w:pStyle w:val="Normal"/>
        <w:ind w:hanging="720" w:start="1440" w:end="0"/>
        <w:jc w:val="both"/>
        <w:rPr>
          <w:sz w:val="24"/>
        </w:rPr>
      </w:pPr>
      <w:r>
        <w:rPr>
          <w:sz w:val="24"/>
        </w:rPr>
        <w:t>(v)</w:t>
        <w:tab/>
        <w:t>the execution, delivery and performance of this Guarantee by the Guarantor does not contravene or constitute a default under any statute, regulation or rule of any governmental authority or under any provision of the Guarantor's certificate of incorporation or by-laws or any contractual restriction binding on the Guarantor; and</w:t>
      </w:r>
    </w:p>
    <w:p>
      <w:pPr>
        <w:pStyle w:val="Normal"/>
        <w:ind w:hanging="720" w:start="1440" w:end="0"/>
        <w:jc w:val="both"/>
        <w:rPr>
          <w:sz w:val="24"/>
        </w:rPr>
      </w:pPr>
      <w:r>
        <w:rPr>
          <w:sz w:val="24"/>
        </w:rPr>
        <w:t>(vi)</w:t>
        <w:tab/>
        <w:t>this Guarantee constitutes the legal, valid and binding obligation of the Guarantor enforceable in accordance with its terms, subject to the effect of any bankruptcy, insolvency, reorganization, moratorium or similar law affecting creditors' rights generally, and to general principles of equity (regardless of whether such enforceability is considered in a proceeding in equity or at law).</w:t>
      </w:r>
    </w:p>
    <w:p>
      <w:pPr>
        <w:pStyle w:val="Normal"/>
        <w:jc w:val="both"/>
        <w:rPr>
          <w:sz w:val="24"/>
        </w:rPr>
      </w:pPr>
      <w:r>
        <w:rPr>
          <w:sz w:val="24"/>
        </w:rPr>
      </w:r>
    </w:p>
    <w:p>
      <w:pPr>
        <w:pStyle w:val="Normal"/>
        <w:jc w:val="both"/>
        <w:rPr/>
      </w:pPr>
      <w:r>
        <w:rPr>
          <w:sz w:val="24"/>
        </w:rPr>
        <w:t>5.</w:t>
        <w:tab/>
      </w:r>
      <w:r>
        <w:rPr>
          <w:b/>
          <w:sz w:val="24"/>
        </w:rPr>
        <w:t>Subrogation.</w:t>
      </w:r>
      <w:r>
        <w:rPr>
          <w:sz w:val="24"/>
        </w:rPr>
        <w:t xml:space="preserve">  Upon payment by Guarantor of any sums to Counterparty under this Guarantee, all rights of Guarantor against the Phibro Companies arising as a result thereof by way of right of subrogation or otherwise shall in all respects be subordinate and junior in right of payment to the prior indefeasible payment in full of all the Obligations, including all Guaranteed Contracts then in effect between the Phibro Companies and Counterparty.</w:t>
      </w:r>
    </w:p>
    <w:p>
      <w:pPr>
        <w:pStyle w:val="Normal"/>
        <w:jc w:val="both"/>
        <w:rPr>
          <w:sz w:val="24"/>
        </w:rPr>
      </w:pPr>
      <w:r>
        <w:rPr>
          <w:sz w:val="24"/>
        </w:rPr>
      </w:r>
    </w:p>
    <w:p>
      <w:pPr>
        <w:pStyle w:val="Normal"/>
        <w:jc w:val="both"/>
        <w:rPr/>
      </w:pPr>
      <w:r>
        <w:rPr>
          <w:sz w:val="24"/>
        </w:rPr>
        <w:t>6.</w:t>
        <w:tab/>
      </w:r>
      <w:r>
        <w:rPr>
          <w:b/>
          <w:sz w:val="24"/>
        </w:rPr>
        <w:t xml:space="preserve">Termination. </w:t>
      </w:r>
      <w:r>
        <w:rPr>
          <w:sz w:val="24"/>
        </w:rPr>
        <w:t xml:space="preserve"> This Guarantee is a continuing guarantee and shall remain in full force and effect until such time as it may be revoked as provided herein.  Guarantor may revoke this Guaranty at any time by written notice given to the [Counterparty/Representative] in the manner provided in Section 7 hereof, such notice to be deemed effective on the eleventh day after the date of receipt or deemed receipt of such notice or at such later date as may be specified in such notice; </w:t>
      </w:r>
      <w:r>
        <w:rPr>
          <w:sz w:val="24"/>
          <w:u w:val="single"/>
        </w:rPr>
        <w:t>provided</w:t>
      </w:r>
      <w:r>
        <w:rPr>
          <w:sz w:val="24"/>
        </w:rPr>
        <w:t xml:space="preserve">, </w:t>
      </w:r>
      <w:r>
        <w:rPr>
          <w:sz w:val="24"/>
          <w:u w:val="single"/>
        </w:rPr>
        <w:t>however</w:t>
      </w:r>
      <w:r>
        <w:rPr>
          <w:sz w:val="24"/>
        </w:rPr>
        <w:t>, that such revocation shall not limit or terminate this Guarantee in respect of any Guaranteed Contract (or, in the case of a master trading agreement, any transaction under such master trading agreement) which shall have been entered into prior to the effectiveness of such revocation.  Notwithstanding anything to the contrary in this Section 6, this Guarantee shall terminate, and Guarantor shall be released from all of the Obligations hereunder with respect to any Guaranteed Contract(s), immediately upon the transfer or assignment of such Guaranteed Contract(s) to an entity which is not an affiliate of the Phibro Companies, if such transfer or assignment is completed in accordance with the provisions of the Guaranteed Contracts.</w:t>
      </w:r>
    </w:p>
    <w:p>
      <w:pPr>
        <w:pStyle w:val="Normal"/>
        <w:jc w:val="both"/>
        <w:rPr>
          <w:sz w:val="24"/>
        </w:rPr>
      </w:pPr>
      <w:r>
        <w:rPr>
          <w:sz w:val="24"/>
        </w:rPr>
      </w:r>
    </w:p>
    <w:p>
      <w:pPr>
        <w:pStyle w:val="Normal"/>
        <w:numPr>
          <w:ilvl w:val="0"/>
          <w:numId w:val="2"/>
        </w:numPr>
        <w:jc w:val="both"/>
        <w:rPr>
          <w:sz w:val="24"/>
        </w:rPr>
      </w:pPr>
      <w:r>
        <w:rPr>
          <w:b/>
          <w:sz w:val="24"/>
        </w:rPr>
        <w:t>Notices</w:t>
      </w:r>
      <w:r>
        <w:rPr>
          <w:sz w:val="24"/>
        </w:rPr>
        <w:t>.  Any notice or communication required or permitted to be made hereunder shall be made, and will be deemed received, (i) if in writing and delivered in person or by courier, on the date it is delivered or (ii) if sent by certified or registered mail (airmail, if overseas) or the equivalent (return receipt requested), on the date that mail is delivered or its delivery is attempted.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8.</w:t>
      </w:r>
      <w:r>
        <w:rPr>
          <w:b/>
          <w:sz w:val="24"/>
        </w:rPr>
        <w:t xml:space="preserve">     GOVERNING LAW; JURISDICTION.</w:t>
      </w:r>
      <w:r>
        <w:rPr>
          <w:sz w:val="24"/>
        </w:rPr>
        <w:t xml:space="preserve">  THIS GUARANTEE SHALL BE GOVERNED BY AND CONSTRUED IN ACCORDANCE WITH THE LAWS OF THE STATE OF NEW YORK, WITHOUT GIVING EFFECT TO CHOICE OF LAW DOCTRINE AND WITHOUT GIVING EFFECT TO ANY PROVISION THEREOF THAT WOULD PERMIT OR REQUIRE THE LAWS OF ANOTHER JURISDICTION TO APPLY.  THE GUARANTOR HEREBY IRREVOCABLY CONSENTS TO, FOR THE PURPOSES OF ANY PROCEEDING ARISING OUT OF THIS GUARANTEE, THE EXCLUSIVE JURISDICTION OF THE COURTS OF THE STATE OF NEW YORK AND THE UNITED STATES DISTRICT COURT LOCATED IN THE BOROUGH OF MANHATTAN IN NEW YORK CITY.</w:t>
      </w:r>
    </w:p>
    <w:p>
      <w:pPr>
        <w:pStyle w:val="Normal"/>
        <w:jc w:val="both"/>
        <w:rPr>
          <w:sz w:val="24"/>
        </w:rPr>
      </w:pPr>
      <w:r>
        <w:rPr>
          <w:sz w:val="24"/>
        </w:rPr>
      </w:r>
    </w:p>
    <w:p>
      <w:pPr>
        <w:pStyle w:val="Normal"/>
        <w:jc w:val="both"/>
        <w:rPr/>
      </w:pPr>
      <w:r>
        <w:rPr>
          <w:sz w:val="24"/>
        </w:rPr>
        <w:t>9.</w:t>
        <w:tab/>
      </w:r>
      <w:r>
        <w:rPr>
          <w:b/>
          <w:sz w:val="24"/>
        </w:rPr>
        <w:t>Miscellaneous</w:t>
      </w:r>
      <w:r>
        <w:rPr>
          <w:sz w:val="24"/>
        </w:rPr>
        <w:t xml:space="preserve">.  Each reference herein to the Guarantor, Counterparty[, Representative] or the Phibro Companies shall be deemed to include their respective successors and assigns.  The provisions hereof shall inure in favor of each such successor or assign.  This Guarantee (i) shall supersede any prior or contemporaneous representations, statements or agreements, oral or written, made by or between the parties with regard to the subject matter hereof, (ii) may be amended only by a written instrument executed by the Guarantor and [Counterparty/Representative] and (iii) may not be assigned by either party without the prior written consent of the other party. </w:t>
      </w:r>
    </w:p>
    <w:p>
      <w:pPr>
        <w:pStyle w:val="Normal"/>
        <w:jc w:val="both"/>
        <w:rPr>
          <w:sz w:val="24"/>
        </w:rPr>
      </w:pPr>
      <w:r>
        <w:rPr>
          <w:sz w:val="24"/>
        </w:rPr>
      </w:r>
    </w:p>
    <w:p>
      <w:pPr>
        <w:pStyle w:val="Normal"/>
        <w:jc w:val="both"/>
        <w:rPr>
          <w:sz w:val="24"/>
        </w:rPr>
      </w:pPr>
      <w:r>
        <w:rPr>
          <w:sz w:val="24"/>
        </w:rPr>
        <w:t>Please acknowledge your agreement to the foregoing by signing below.  By execution below, you represent and warrant that you have full power and authority to sign on behalf of [Counterparty / Representative and any affiliates of Representative set forth in this Guarantee] with respect to the matters covered by this Guarantee.</w:t>
      </w:r>
    </w:p>
    <w:p>
      <w:pPr>
        <w:pStyle w:val="Normal"/>
        <w:jc w:val="both"/>
        <w:rPr>
          <w:sz w:val="24"/>
        </w:rPr>
      </w:pPr>
      <w:r>
        <w:rPr>
          <w:sz w:val="24"/>
        </w:rPr>
      </w:r>
    </w:p>
    <w:p>
      <w:pPr>
        <w:pStyle w:val="Normal"/>
        <w:jc w:val="both"/>
        <w:rPr>
          <w:sz w:val="24"/>
        </w:rPr>
      </w:pPr>
      <w:r>
        <w:rPr>
          <w:sz w:val="24"/>
        </w:rPr>
        <w:t>Please return an executed copy of this Guarantee in the enclosed envelope to:</w:t>
      </w:r>
    </w:p>
    <w:p>
      <w:pPr>
        <w:pStyle w:val="Normal"/>
        <w:jc w:val="both"/>
        <w:rPr>
          <w:color w:val="FF0000"/>
          <w:sz w:val="24"/>
        </w:rPr>
      </w:pPr>
      <w:r>
        <w:rPr>
          <w:color w:val="FF0000"/>
          <w:sz w:val="24"/>
        </w:rPr>
      </w:r>
    </w:p>
    <w:p>
      <w:pPr>
        <w:pStyle w:val="Normal"/>
        <w:jc w:val="both"/>
        <w:rPr>
          <w:sz w:val="24"/>
        </w:rPr>
      </w:pPr>
      <w:r>
        <w:rPr>
          <w:sz w:val="24"/>
        </w:rPr>
        <w:t>Phibro Inc.</w:t>
      </w:r>
    </w:p>
    <w:p>
      <w:pPr>
        <w:pStyle w:val="Normal"/>
        <w:jc w:val="both"/>
        <w:rPr>
          <w:sz w:val="24"/>
        </w:rPr>
      </w:pPr>
      <w:r>
        <w:rPr>
          <w:sz w:val="24"/>
        </w:rPr>
        <w:t>500 Nyala Farms</w:t>
      </w:r>
    </w:p>
    <w:p>
      <w:pPr>
        <w:pStyle w:val="Normal"/>
        <w:jc w:val="both"/>
        <w:rPr>
          <w:sz w:val="24"/>
        </w:rPr>
      </w:pPr>
      <w:r>
        <w:rPr>
          <w:sz w:val="24"/>
        </w:rPr>
        <w:t>Westport, CT 06880-6262</w:t>
      </w:r>
    </w:p>
    <w:p>
      <w:pPr>
        <w:pStyle w:val="Normal"/>
        <w:jc w:val="both"/>
        <w:rPr>
          <w:sz w:val="24"/>
        </w:rPr>
      </w:pPr>
      <w:r>
        <w:rPr>
          <w:sz w:val="24"/>
        </w:rPr>
        <w:t>Att: Catherine Warten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Kindly contact Todd Hermanson at (203) 221-6106 or Catherine Warten at (203) 221-5888 in the U.S.A. or Roger Plaisted at 44-171-721-4590 in London should you require clarification.</w:t>
      </w:r>
    </w:p>
    <w:p>
      <w:pPr>
        <w:pStyle w:val="Normal"/>
        <w:jc w:val="both"/>
        <w:rPr>
          <w:sz w:val="24"/>
        </w:rPr>
      </w:pPr>
      <w:r>
        <w:rPr>
          <w:sz w:val="24"/>
        </w:rPr>
      </w:r>
    </w:p>
    <w:p>
      <w:pPr>
        <w:pStyle w:val="Normal"/>
        <w:jc w:val="both"/>
        <w:rPr>
          <w:sz w:val="24"/>
        </w:rPr>
      </w:pPr>
      <w:r>
        <w:rPr>
          <w:sz w:val="24"/>
        </w:rPr>
        <w:t>IN WITNESS WHEREOF, the undersigned has executed this Guarantee as of the date first above written.</w:t>
      </w:r>
    </w:p>
    <w:p>
      <w:pPr>
        <w:pStyle w:val="Normal"/>
        <w:jc w:val="both"/>
        <w:rPr>
          <w:sz w:val="24"/>
        </w:rPr>
      </w:pPr>
      <w:r>
        <w:rPr>
          <w:sz w:val="24"/>
        </w:rPr>
      </w:r>
    </w:p>
    <w:p>
      <w:pPr>
        <w:pStyle w:val="Normal"/>
        <w:jc w:val="both"/>
        <w:rPr>
          <w:b/>
          <w:sz w:val="24"/>
        </w:rPr>
      </w:pPr>
      <w:r>
        <w:rPr>
          <w:b/>
          <w:sz w:val="24"/>
        </w:rPr>
        <w:t>SALOMON SMITH BARNEY HOLDINGS INC.</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t>By:  _____________________________</w:t>
      </w:r>
    </w:p>
    <w:p>
      <w:pPr>
        <w:pStyle w:val="Normal"/>
        <w:jc w:val="both"/>
        <w:rPr>
          <w:sz w:val="24"/>
        </w:rPr>
      </w:pPr>
      <w:r>
        <w:rPr>
          <w:sz w:val="24"/>
        </w:rPr>
        <w:t xml:space="preserve">       </w:t>
      </w:r>
      <w:r>
        <w:rPr>
          <w:sz w:val="24"/>
        </w:rPr>
        <w:t>Name:</w:t>
      </w:r>
    </w:p>
    <w:p>
      <w:pPr>
        <w:pStyle w:val="Normal"/>
        <w:jc w:val="both"/>
        <w:rPr>
          <w:sz w:val="24"/>
        </w:rPr>
      </w:pPr>
      <w:r>
        <w:rPr>
          <w:sz w:val="24"/>
        </w:rPr>
        <w:t xml:space="preserve">       </w:t>
      </w:r>
      <w:r>
        <w:rPr>
          <w:sz w:val="24"/>
        </w:rPr>
        <w:t>Title:</w:t>
        <w:tab/>
        <w:t>Authorized Signatory</w:t>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AGREED AND ACKNOWLEDGED.</w:t>
      </w:r>
    </w:p>
    <w:p>
      <w:pPr>
        <w:pStyle w:val="Normal"/>
        <w:jc w:val="both"/>
        <w:rPr>
          <w:sz w:val="24"/>
        </w:rPr>
      </w:pPr>
      <w:r>
        <w:rPr>
          <w:sz w:val="24"/>
        </w:rPr>
        <w:t xml:space="preserve"> </w:t>
      </w:r>
      <w:r>
        <w:rPr>
          <w:sz w:val="24"/>
        </w:rPr>
        <w:t>(For itself and as Representative for the Counterparties]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  _____________________________</w:t>
      </w:r>
    </w:p>
    <w:p>
      <w:pPr>
        <w:pStyle w:val="Normal"/>
        <w:jc w:val="both"/>
        <w:rPr>
          <w:sz w:val="24"/>
        </w:rPr>
      </w:pPr>
      <w:r>
        <w:rPr>
          <w:sz w:val="24"/>
        </w:rPr>
        <w:t xml:space="preserve">       </w:t>
      </w:r>
      <w:r>
        <w:rPr>
          <w:sz w:val="24"/>
        </w:rPr>
        <w:t>Name:</w:t>
      </w:r>
    </w:p>
    <w:p>
      <w:pPr>
        <w:pStyle w:val="Normal"/>
        <w:jc w:val="both"/>
        <w:rPr>
          <w:sz w:val="24"/>
        </w:rPr>
      </w:pPr>
      <w:r>
        <w:rPr>
          <w:sz w:val="24"/>
        </w:rPr>
        <w:t xml:space="preserve">       </w:t>
      </w:r>
      <w:r>
        <w:rPr>
          <w:sz w:val="24"/>
        </w:rPr>
        <w:t>Title:</w:t>
        <w:tab/>
        <w:t>Authorized Signatory</w:t>
      </w:r>
    </w:p>
    <w:sectPr>
      <w:footerReference w:type="default" r:id="rId2"/>
      <w:footerReference w:type="first" r:id="rId3"/>
      <w:type w:val="nextPage"/>
      <w:pgSz w:w="12240" w:h="15840"/>
      <w:pgMar w:left="1440" w:right="1454"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Times New Roman" w:hAnsi="Times New Roman;Times New Roman" w:cs="Times New Roman;Times New Roman"/>
      </w:rPr>
    </w:pPr>
    <w:r>
      <w:rPr>
        <w:rFonts w:cs="Times New Roman;Times New Roman" w:ascii="Times New Roman;Times New Roman" w:hAnsi="Times New Roman;Times New Roman"/>
      </w:rPr>
      <w:t>Guar/mstr/salsmith2000.1phibr.doc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lowerRoman"/>
      <w:lvlText w:val="(%1)"/>
      <w:lvlJc w:val="start"/>
      <w:pPr>
        <w:tabs>
          <w:tab w:val="num" w:pos="1440"/>
        </w:tabs>
        <w:ind w:start="1440" w:hanging="720"/>
      </w:pPr>
      <w:rPr/>
    </w:lvl>
  </w:abstractNum>
  <w:abstractNum w:abstractNumId="2">
    <w:lvl w:ilvl="0">
      <w:start w:val="7"/>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GB"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rFonts w:ascii="Times" w:hAnsi="Times" w:cs="Times"/>
      <w:lang w:val="en-U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2000-08-14T11:58:00Z</dcterms:created>
  <dc:creator>G Schindler</dc:creator>
  <dc:description/>
  <dc:language>en-CA</dc:language>
  <cp:lastModifiedBy>wartenc</cp:lastModifiedBy>
  <cp:lastPrinted>2000-09-20T14:07:00Z</cp:lastPrinted>
  <dcterms:modified xsi:type="dcterms:W3CDTF">2000-09-20T15:45:00Z</dcterms:modified>
  <cp:revision>6</cp:revision>
  <dc:subject/>
  <dc:title>[EXHIBIT I]</dc:title>
</cp:coreProperties>
</file>