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rPr>
          <w:lang w:eastAsia="en-US"/>
        </w:rPr>
      </w:pPr>
      <w:r>
        <w:rPr>
          <w:lang w:eastAsia="en-US"/>
        </w:rPr>
      </w:r>
    </w:p>
    <w:p>
      <w:pPr>
        <w:pStyle w:val="Normal"/>
        <w:rPr>
          <w:lang w:eastAsia="en-US"/>
        </w:rPr>
      </w:pPr>
      <w:r>
        <w:rPr>
          <w:lang w:eastAsia="en-US"/>
        </w:rPr>
        <w:tab/>
        <w:tab/>
        <w:tab/>
        <w:tab/>
        <w:tab/>
        <w:tab/>
        <w:tab/>
        <w:tab/>
        <w:tab/>
        <w:tab/>
      </w:r>
    </w:p>
    <w:p>
      <w:pPr>
        <w:pStyle w:val="Normal"/>
        <w:rPr>
          <w:lang w:eastAsia="en-US"/>
        </w:rPr>
      </w:pPr>
      <w:r>
        <w:rPr>
          <w:lang w:eastAsia="en-US"/>
        </w:rPr>
      </w:r>
    </w:p>
    <w:p>
      <w:pPr>
        <w:pStyle w:val="Normal"/>
        <w:rPr>
          <w:lang w:eastAsia="en-US"/>
        </w:rPr>
      </w:pPr>
      <w:r>
        <w:rPr>
          <w:lang w:eastAsia="en-US"/>
        </w:rPr>
      </w:r>
    </w:p>
    <w:p>
      <w:pPr>
        <w:pStyle w:val="Normal"/>
        <w:ind w:firstLine="720" w:start="4320" w:end="0"/>
        <w:rPr>
          <w:lang w:eastAsia="en-US"/>
        </w:rPr>
      </w:pPr>
      <w:r>
        <w:rPr>
          <w:lang w:eastAsia="en-US"/>
        </w:rPr>
        <w:t>March 24, 2000</w:t>
      </w:r>
    </w:p>
    <w:p>
      <w:pPr>
        <w:pStyle w:val="Normal"/>
        <w:ind w:firstLine="720" w:start="4320" w:end="0"/>
        <w:rPr>
          <w:lang w:eastAsia="en-US"/>
        </w:rPr>
      </w:pPr>
      <w:r>
        <w:rPr>
          <w:lang w:eastAsia="en-US"/>
        </w:rPr>
      </w:r>
    </w:p>
    <w:p>
      <w:pPr>
        <w:pStyle w:val="Normal"/>
        <w:rPr/>
      </w:pPr>
      <w:r>
        <w:rPr/>
        <w:t>U.S. Gas Transmission, Inc.</w:t>
      </w:r>
    </w:p>
    <w:p>
      <w:pPr>
        <w:pStyle w:val="Normal"/>
        <w:rPr/>
      </w:pPr>
      <w:r>
        <w:rPr/>
        <w:t>2711 N. Haskell Ave.</w:t>
      </w:r>
    </w:p>
    <w:p>
      <w:pPr>
        <w:pStyle w:val="Normal"/>
        <w:rPr/>
      </w:pPr>
      <w:r>
        <w:rPr/>
        <w:t>Dallas, Texas 75204</w:t>
      </w:r>
    </w:p>
    <w:p>
      <w:pPr>
        <w:pStyle w:val="Normal"/>
        <w:widowControl w:val="false"/>
        <w:rPr>
          <w:lang w:eastAsia="en-US"/>
        </w:rPr>
      </w:pPr>
      <w:r>
        <w:rPr>
          <w:lang w:eastAsia="en-US"/>
        </w:rPr>
        <w:t xml:space="preserve">Attn: </w:t>
      </w:r>
      <w:r>
        <w:rPr/>
        <w:t>Nanci Mackenzie, President</w:t>
      </w:r>
    </w:p>
    <w:p>
      <w:pPr>
        <w:pStyle w:val="Normal"/>
        <w:widowControl w:val="false"/>
        <w:rPr/>
      </w:pPr>
      <w:r>
        <w:rPr>
          <w:lang w:eastAsia="en-US"/>
        </w:rPr>
        <w:t xml:space="preserve">Re: </w:t>
      </w:r>
      <w:r>
        <w:rPr>
          <w:u w:val="single"/>
          <w:lang w:eastAsia="en-US"/>
        </w:rPr>
        <w:t>FTS-1 Agreement No. 27161</w:t>
      </w:r>
      <w:r>
        <w:rPr>
          <w:lang w:eastAsia="en-US"/>
        </w:rPr>
        <w:t xml:space="preserve">  </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U.S. Gas Transmission, Inc. (“Shipper”) agree as follows regarding the provision of firm transportation service:</w:t>
      </w:r>
    </w:p>
    <w:p>
      <w:pPr>
        <w:pStyle w:val="Normal"/>
        <w:widowControl w:val="false"/>
        <w:rPr>
          <w:lang w:eastAsia="en-US"/>
        </w:rPr>
      </w:pPr>
      <w:r>
        <w:rPr>
          <w:lang w:eastAsia="en-US"/>
        </w:rPr>
      </w:r>
    </w:p>
    <w:p>
      <w:pPr>
        <w:pStyle w:val="Normal"/>
        <w:widowControl w:val="false"/>
        <w:numPr>
          <w:ilvl w:val="0"/>
          <w:numId w:val="2"/>
        </w:numPr>
        <w:rPr>
          <w:lang w:eastAsia="en-US"/>
        </w:rPr>
      </w:pPr>
      <w:r>
        <w:rPr>
          <w:lang w:eastAsia="en-US"/>
        </w:rPr>
        <w:t>Shipper and Transwestern have entered into a Firm Transportation Service Agreement (“FTS-1 Agreement”), Contract #27161.</w:t>
      </w:r>
    </w:p>
    <w:p>
      <w:pPr>
        <w:pStyle w:val="Normal"/>
        <w:widowControl w:val="false"/>
        <w:rPr>
          <w:lang w:eastAsia="en-US"/>
        </w:rPr>
      </w:pPr>
      <w:r>
        <w:rPr>
          <w:lang w:eastAsia="en-US"/>
        </w:rPr>
      </w:r>
    </w:p>
    <w:p>
      <w:pPr>
        <w:pStyle w:val="Normal"/>
        <w:widowControl w:val="false"/>
        <w:ind w:hanging="360" w:start="360" w:end="0"/>
        <w:rPr>
          <w:lang w:eastAsia="en-US"/>
        </w:rPr>
      </w:pPr>
      <w:r>
        <w:rPr>
          <w:lang w:eastAsia="en-US"/>
        </w:rPr>
        <w:t xml:space="preserve">2.    </w:t>
      </w:r>
      <w:r>
        <w:rPr>
          <w:u w:val="single"/>
          <w:lang w:eastAsia="en-US"/>
        </w:rPr>
        <w:t>Discounted Rate</w:t>
      </w:r>
    </w:p>
    <w:p>
      <w:pPr>
        <w:pStyle w:val="Normal"/>
        <w:widowControl w:val="false"/>
        <w:ind w:hanging="360" w:start="360" w:end="0"/>
        <w:rPr>
          <w:lang w:eastAsia="en-US"/>
        </w:rPr>
      </w:pPr>
      <w:r>
        <w:rPr>
          <w:lang w:eastAsia="en-US"/>
        </w:rPr>
      </w:r>
    </w:p>
    <w:p>
      <w:pPr>
        <w:pStyle w:val="BodyTextIndent2"/>
        <w:ind w:hanging="270" w:start="630" w:end="0"/>
        <w:rPr/>
      </w:pPr>
      <w:r>
        <w:rPr/>
        <w:t>a.  The Discounted Rate set forth below shall be effective April 1, 2000 and shall be apply during the term of the FTS-1 Agreement through October 31, 2001.</w:t>
      </w:r>
    </w:p>
    <w:p>
      <w:pPr>
        <w:pStyle w:val="Normal"/>
        <w:widowControl w:val="false"/>
        <w:rPr>
          <w:lang w:eastAsia="en-US"/>
        </w:rPr>
      </w:pPr>
      <w:r>
        <w:rPr>
          <w:lang w:eastAsia="en-US"/>
        </w:rPr>
      </w:r>
    </w:p>
    <w:p>
      <w:pPr>
        <w:pStyle w:val="Normal"/>
        <w:widowControl w:val="false"/>
        <w:ind w:hanging="360" w:start="360" w:end="0"/>
        <w:rPr>
          <w:lang w:eastAsia="en-US"/>
        </w:rPr>
      </w:pPr>
      <w:r>
        <w:rPr>
          <w:lang w:eastAsia="en-US"/>
        </w:rPr>
        <w:t xml:space="preserve"> </w:t>
      </w:r>
      <w:r>
        <w:rPr>
          <w:lang w:eastAsia="en-US"/>
        </w:rPr>
        <w:tab/>
        <w:t>b.  The Discounted Rate for the FTS-1 Agreement is as follows:</w:t>
      </w:r>
    </w:p>
    <w:p>
      <w:pPr>
        <w:pStyle w:val="Normal"/>
        <w:widowControl w:val="false"/>
        <w:rPr>
          <w:lang w:eastAsia="en-US"/>
        </w:rPr>
      </w:pPr>
      <w:r>
        <w:rPr>
          <w:lang w:eastAsia="en-US"/>
        </w:rPr>
      </w:r>
    </w:p>
    <w:p>
      <w:pPr>
        <w:pStyle w:val="Normal"/>
        <w:widowControl w:val="false"/>
        <w:rPr>
          <w:b/>
          <w:lang w:eastAsia="en-US"/>
        </w:rPr>
      </w:pPr>
      <w:r>
        <w:rPr>
          <w:lang w:eastAsia="en-US"/>
        </w:rPr>
        <w:tab/>
        <w:t xml:space="preserve">i.  </w:t>
      </w:r>
      <w:r>
        <w:rPr>
          <w:u w:val="single"/>
          <w:lang w:eastAsia="en-US"/>
        </w:rPr>
        <w:t>East to East Flow</w:t>
      </w:r>
    </w:p>
    <w:p>
      <w:pPr>
        <w:pStyle w:val="Normal"/>
        <w:widowControl w:val="false"/>
        <w:rPr>
          <w:b/>
          <w:lang w:eastAsia="en-US"/>
        </w:rPr>
      </w:pPr>
      <w:r>
        <w:rPr>
          <w:b/>
          <w:lang w:eastAsia="en-US"/>
        </w:rPr>
      </w:r>
    </w:p>
    <w:p>
      <w:pPr>
        <w:pStyle w:val="Normal"/>
        <w:widowControl w:val="false"/>
        <w:rPr>
          <w:lang w:eastAsia="en-US"/>
        </w:rPr>
      </w:pPr>
      <w:r>
        <w:rPr>
          <w:lang w:eastAsia="en-US"/>
        </w:rPr>
        <w:tab/>
        <w:tab/>
        <w:t>Reservation (demand) rate:  $0.0075/MMBtu/day</w:t>
      </w:r>
    </w:p>
    <w:p>
      <w:pPr>
        <w:pStyle w:val="Normal"/>
        <w:widowControl w:val="false"/>
        <w:rPr>
          <w:lang w:eastAsia="en-US"/>
        </w:rPr>
      </w:pPr>
      <w:r>
        <w:rPr>
          <w:lang w:eastAsia="en-US"/>
        </w:rPr>
        <w:tab/>
        <w:tab/>
        <w:t>Commodity rate:</w:t>
        <w:tab/>
        <w:t>$0.0093/MMBtu/day</w:t>
      </w:r>
    </w:p>
    <w:p>
      <w:pPr>
        <w:pStyle w:val="Normal"/>
        <w:widowControl w:val="false"/>
        <w:rPr>
          <w:lang w:eastAsia="en-US"/>
        </w:rPr>
      </w:pPr>
      <w:r>
        <w:rPr>
          <w:lang w:eastAsia="en-US"/>
        </w:rPr>
      </w:r>
    </w:p>
    <w:p>
      <w:pPr>
        <w:pStyle w:val="Normal"/>
        <w:widowControl w:val="false"/>
        <w:rPr/>
      </w:pPr>
      <w:r>
        <w:rPr>
          <w:lang w:eastAsia="en-US"/>
        </w:rPr>
        <w:tab/>
        <w:t xml:space="preserve">ii.  </w:t>
      </w:r>
      <w:r>
        <w:rPr>
          <w:u w:val="single"/>
          <w:lang w:eastAsia="en-US"/>
        </w:rPr>
        <w:t>East to West Flo</w:t>
      </w:r>
      <w:r>
        <w:rPr>
          <w:b/>
          <w:u w:val="single"/>
          <w:lang w:eastAsia="en-US"/>
        </w:rPr>
        <w:t>w</w:t>
      </w:r>
    </w:p>
    <w:p>
      <w:pPr>
        <w:pStyle w:val="Normal"/>
        <w:widowControl w:val="false"/>
        <w:rPr>
          <w:lang w:eastAsia="en-US"/>
        </w:rPr>
      </w:pPr>
      <w:r>
        <w:rPr>
          <w:lang w:eastAsia="en-US"/>
        </w:rPr>
        <w:tab/>
      </w:r>
    </w:p>
    <w:p>
      <w:pPr>
        <w:pStyle w:val="Normal"/>
        <w:widowControl w:val="false"/>
        <w:rPr>
          <w:lang w:eastAsia="en-US"/>
        </w:rPr>
      </w:pPr>
      <w:r>
        <w:rPr>
          <w:lang w:eastAsia="en-US"/>
        </w:rPr>
        <w:tab/>
        <w:tab/>
        <w:t xml:space="preserve">$0.04/MMBtu/day </w:t>
      </w:r>
    </w:p>
    <w:p>
      <w:pPr>
        <w:pStyle w:val="Normal"/>
        <w:widowControl w:val="false"/>
        <w:rPr>
          <w:lang w:eastAsia="en-US"/>
        </w:rPr>
      </w:pPr>
      <w:r>
        <w:rPr>
          <w:lang w:eastAsia="en-US"/>
        </w:rPr>
      </w:r>
    </w:p>
    <w:p>
      <w:pPr>
        <w:pStyle w:val="BlockText"/>
        <w:ind w:start="1440" w:end="1926"/>
        <w:rPr/>
      </w:pPr>
      <w:r>
        <w:rPr/>
        <w:t xml:space="preserve">The Discounted Rate for East to West flow is a combined discounted commodity and reservation rate.  Transwestern shall allocate the combined rate between the reservation and commodity components inclusive of surcharges. </w:t>
      </w:r>
    </w:p>
    <w:p>
      <w:pPr>
        <w:pStyle w:val="Normal"/>
        <w:widowControl w:val="false"/>
        <w:rPr>
          <w:lang w:eastAsia="en-US"/>
        </w:rPr>
      </w:pPr>
      <w:r>
        <w:rPr>
          <w:lang w:eastAsia="en-US"/>
        </w:rPr>
      </w:r>
    </w:p>
    <w:p>
      <w:pPr>
        <w:pStyle w:val="BodyTextIndent"/>
        <w:ind w:hanging="270" w:start="630" w:end="0"/>
        <w:rPr/>
      </w:pPr>
      <w:r>
        <w:rPr/>
        <w:t>c.  The total charge shall include all applicable surcharges, provided that the transportation rates set forth above shall in no event be greater than the maximum or lower than the minimum rates provided in Transwestern’s FERC Gas Tariff, as amended from time to time.</w:t>
      </w:r>
    </w:p>
    <w:p>
      <w:pPr>
        <w:pStyle w:val="Normal"/>
        <w:widowControl w:val="false"/>
        <w:ind w:start="720" w:end="0"/>
        <w:rPr>
          <w:lang w:eastAsia="en-US"/>
        </w:rPr>
      </w:pPr>
      <w:r>
        <w:rPr>
          <w:lang w:eastAsia="en-US"/>
        </w:rPr>
      </w:r>
    </w:p>
    <w:p>
      <w:pPr>
        <w:pStyle w:val="BodyTextIndent"/>
        <w:ind w:hanging="270" w:start="630" w:end="0"/>
        <w:rPr/>
      </w:pPr>
      <w:r>
        <w:rPr/>
        <w:t>d.  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ind w:hanging="270" w:start="630" w:end="0"/>
        <w:rPr>
          <w:lang w:eastAsia="en-US"/>
        </w:rPr>
      </w:pPr>
      <w:r>
        <w:rPr>
          <w:lang w:eastAsia="en-US"/>
        </w:rPr>
        <w:t xml:space="preserve">e.  The East to East Flow Discounted Rate shall apply to all transportation under the FTS-1 Agreement from the primary points of receipt to the primary points of delivery set forth on Appendix A, alternate receipts at Thoreau (POI #56709) and all alternate receipts and deliveries East of Thoreau.  For East to East Flow volumes, Shipper may request a change to or addition of East-of-Thoreau delivery point(s) and receipt point(s) at the Discounted Rate, including Thoreau (POI #56709) and Window Rock (POI #500179), except that Shipper may not add Thoreau (POI #56709) as a primary receipt or delivery point under the FTS-1 Agreement.  </w:t>
      </w:r>
    </w:p>
    <w:p>
      <w:pPr>
        <w:pStyle w:val="Normal"/>
        <w:widowControl w:val="false"/>
        <w:ind w:hanging="270" w:start="630" w:end="0"/>
        <w:rPr>
          <w:lang w:eastAsia="en-US"/>
        </w:rPr>
      </w:pPr>
      <w:r>
        <w:rPr>
          <w:lang w:eastAsia="en-US"/>
        </w:rPr>
      </w:r>
    </w:p>
    <w:p>
      <w:pPr>
        <w:pStyle w:val="Normal"/>
        <w:widowControl w:val="false"/>
        <w:ind w:hanging="270" w:start="630" w:end="0"/>
        <w:rPr>
          <w:lang w:eastAsia="en-US"/>
        </w:rPr>
      </w:pPr>
      <w:r>
        <w:rPr>
          <w:lang w:eastAsia="en-US"/>
        </w:rPr>
        <w:t>f.</w:t>
        <w:tab/>
        <w:t xml:space="preserve">The East to West Flow Discounted Rate shall apply to all transportation under the FTS-1 Agreement from the primary points of receipt set forth on Appendix A, alternate receipts at Thoreau (POI #56709) and all alternate receipts East of Thoreau, to the following alternate points of delivery:  CA Pool (POI #57276), SoCal Needles (POI #10487), SoCal Topock (POI #56697), PG&amp;E Topock (POI #56698) and Mojave Topock (POI #56696).  For East to West Flow volumes, Shipper may request a change to or addition of East-of-Thoreau receipt points at the Discounted Rate, including Thoreau (POI #56709) and Window Rock (POI #500179), except that Shipper may not add Thoreau (POI #56709) as a primary receipt point under the FTS-1 Agreement. If any alternate delivery points are utilized for East to West Flow transportation other than the alternate delivery points listed above, the Discounted Rate shall not be applicable and Transwestern’s maximum rates shall apply during the time such other alternate delivery points are utilized.  </w:t>
      </w:r>
    </w:p>
    <w:p>
      <w:pPr>
        <w:pStyle w:val="Normal"/>
        <w:widowControl w:val="false"/>
        <w:ind w:hanging="270" w:start="630" w:end="0"/>
        <w:rPr>
          <w:lang w:eastAsia="en-US"/>
        </w:rPr>
      </w:pPr>
      <w:r>
        <w:rPr>
          <w:lang w:eastAsia="en-US"/>
        </w:rPr>
      </w:r>
    </w:p>
    <w:p>
      <w:pPr>
        <w:pStyle w:val="Normal"/>
        <w:widowControl w:val="false"/>
        <w:ind w:hanging="270" w:start="630" w:end="846"/>
        <w:rPr/>
      </w:pPr>
      <w:r>
        <w:rPr/>
        <w:t xml:space="preserve">g. </w:t>
        <w:tab/>
        <w:t xml:space="preserve">Transwestern agrees to include ANR Red Deer (POI#0009018) as an alternate receipt point on the FTS-1 Agreement, subject to Transwestern's ability to match the operating pressure on the upstream pipeline on a commercially reasonable basis, at Transwestern's sole discretion. </w:t>
      </w:r>
    </w:p>
    <w:p>
      <w:pPr>
        <w:pStyle w:val="Normal"/>
        <w:widowControl w:val="false"/>
        <w:ind w:hanging="270" w:start="630" w:end="0"/>
        <w:rPr>
          <w:lang w:eastAsia="en-US"/>
        </w:rPr>
      </w:pPr>
      <w:r>
        <w:rPr>
          <w:lang w:eastAsia="en-US"/>
        </w:rPr>
      </w:r>
    </w:p>
    <w:p>
      <w:pPr>
        <w:pStyle w:val="Normal"/>
        <w:widowControl w:val="false"/>
        <w:ind w:hanging="270" w:start="630" w:end="0"/>
        <w:rPr>
          <w:lang w:eastAsia="en-US"/>
        </w:rPr>
      </w:pPr>
      <w:r>
        <w:rPr>
          <w:lang w:eastAsia="en-US"/>
        </w:rPr>
        <w:t>h.</w:t>
        <w:tab/>
        <w:t xml:space="preserve">Any change in the quantity of firm capacity at any receipt or delivery point pursuant to paragraphs e) and f) above shall be subject to available capacity and the applicable provisions of Transwestern's FERC Gas Tariff, and shall not exceed the MAXDTQ set forth in the FTS-1 Agreement.   </w:t>
      </w:r>
    </w:p>
    <w:p>
      <w:pPr>
        <w:pStyle w:val="Normal"/>
        <w:widowControl w:val="false"/>
        <w:rPr>
          <w:lang w:eastAsia="en-US"/>
        </w:rPr>
      </w:pPr>
      <w:r>
        <w:rPr>
          <w:lang w:eastAsia="en-US"/>
        </w:rPr>
      </w:r>
    </w:p>
    <w:p>
      <w:pPr>
        <w:pStyle w:val="Normal"/>
        <w:widowControl w:val="false"/>
        <w:ind w:hanging="360" w:start="360" w:end="0"/>
        <w:rPr/>
      </w:pPr>
      <w:r>
        <w:rPr>
          <w:lang w:eastAsia="en-US"/>
        </w:rPr>
        <w:t xml:space="preserve">3.    </w:t>
      </w:r>
      <w:r>
        <w:rPr/>
        <w:t>In addition to the rates set forth in the preceding paragraphs, Transwestern shall be entitled, through the revenue sharing mechanism described below, to share in the Commodity Sales Margins (defined below) resulting from Shipper’s use of the capacity pursuant to the FTS-1 Agreement, according to the following:</w:t>
      </w:r>
    </w:p>
    <w:p>
      <w:pPr>
        <w:pStyle w:val="Normal"/>
        <w:widowControl w:val="false"/>
        <w:ind w:start="720" w:end="0"/>
        <w:rPr/>
      </w:pPr>
      <w:r>
        <w:rPr/>
      </w:r>
    </w:p>
    <w:p>
      <w:pPr>
        <w:pStyle w:val="Normal"/>
        <w:numPr>
          <w:ilvl w:val="0"/>
          <w:numId w:val="3"/>
        </w:numPr>
        <w:tabs>
          <w:tab w:val="clear" w:pos="720"/>
          <w:tab w:val="left" w:pos="630" w:leader="none"/>
        </w:tabs>
        <w:spacing w:before="0" w:after="120"/>
        <w:ind w:hanging="270" w:start="630" w:end="0"/>
        <w:rPr/>
      </w:pPr>
      <w:r>
        <w:rPr/>
        <w:t xml:space="preserve">Transwestern and Shipper shall each share fifty percent (50%) of the Commodity Sales Margins above the Revenue Sharing Threshold.  The Revenue Sharing Threshold shall be an amount equal to the sum of the total charges due and payable to Transwestern under this Agreement, plus the first $2.5 million of Commodity Sales Margins resulting from Shipper’s use of the capacity covered under this Agreement. </w:t>
      </w:r>
    </w:p>
    <w:p>
      <w:pPr>
        <w:pStyle w:val="Normal"/>
        <w:numPr>
          <w:ilvl w:val="0"/>
          <w:numId w:val="3"/>
        </w:numPr>
        <w:tabs>
          <w:tab w:val="clear" w:pos="720"/>
          <w:tab w:val="left" w:pos="630" w:leader="none"/>
        </w:tabs>
        <w:spacing w:before="0" w:after="120"/>
        <w:ind w:hanging="270" w:start="630" w:end="0"/>
        <w:rPr/>
      </w:pPr>
      <w:r>
        <w:rPr/>
        <w:t>If Shipper releases capacity during the term of the FTS-1 Agreement at a rate that exceeds the Discounted Rate, then the amount of the excess shall be treated as Commodity Sales Margins.  If Shipper releases capacity at a rate at or below the Discounted Rate, then the demand charges otherwise due and payable to Transwestern shall be reduced in an amount commensurate with the term and quantity of capacity released by Shipper solely for purposes of calculating the Revenue Sharing Threshold.  Any adjustment to demand charges for purposes of calculating the Revenue Sharing Threshold does not relieve Shipper of any obligation to pay all charges pursuant to the FTS-1 Agreement or Transwestern’s FERC Gas Tariff.</w:t>
      </w:r>
    </w:p>
    <w:p>
      <w:pPr>
        <w:pStyle w:val="Normal"/>
        <w:numPr>
          <w:ilvl w:val="0"/>
          <w:numId w:val="3"/>
        </w:numPr>
        <w:tabs>
          <w:tab w:val="clear" w:pos="720"/>
          <w:tab w:val="left" w:pos="630" w:leader="none"/>
        </w:tabs>
        <w:spacing w:before="0" w:after="120"/>
        <w:ind w:hanging="270" w:start="630" w:end="0"/>
        <w:rPr/>
      </w:pPr>
      <w:r>
        <w:rPr/>
        <w:t xml:space="preserve">The Commodity Sales Margins shall be calculated according to the following formula: </w:t>
      </w:r>
    </w:p>
    <w:p>
      <w:pPr>
        <w:pStyle w:val="Normal"/>
        <w:tabs>
          <w:tab w:val="clear" w:pos="720"/>
          <w:tab w:val="left" w:pos="9000" w:leader="none"/>
        </w:tabs>
        <w:ind w:start="1080" w:end="936"/>
        <w:rPr/>
      </w:pPr>
      <w:r>
        <w:rPr/>
        <w:t xml:space="preserve">Commodity Sales Margins =  Actual quantity of East Flow** volumes transported pursuant to this FTS-1 Agreement </w:t>
      </w:r>
      <w:r>
        <w:rPr>
          <w:u w:val="single"/>
        </w:rPr>
        <w:t>multiplied by</w:t>
      </w:r>
      <w:r>
        <w:rPr/>
        <w:t xml:space="preserve"> ((the difference in the commodity price for natural gas as reported in </w:t>
      </w:r>
      <w:r>
        <w:rPr>
          <w:u w:val="single"/>
        </w:rPr>
        <w:t>Gas Daily</w:t>
      </w:r>
      <w:r>
        <w:rPr/>
        <w:t xml:space="preserve">, Daily Price Survey, Permian Basin, midpoint Tex intras, Waha area </w:t>
      </w:r>
      <w:r>
        <w:rPr>
          <w:u w:val="single"/>
        </w:rPr>
        <w:t>minus</w:t>
      </w:r>
      <w:r>
        <w:rPr/>
        <w:t xml:space="preserve"> midpoint Transwestern) </w:t>
      </w:r>
      <w:r>
        <w:rPr>
          <w:u w:val="single"/>
        </w:rPr>
        <w:t>minus</w:t>
      </w:r>
      <w:r>
        <w:rPr/>
        <w:t xml:space="preserve"> the commodity rate of $0.0093/MMBtu </w:t>
      </w:r>
      <w:r>
        <w:rPr>
          <w:u w:val="single"/>
        </w:rPr>
        <w:t>minus</w:t>
      </w:r>
      <w:r>
        <w:rPr/>
        <w:t xml:space="preserve"> the cost of fuel (applicable fuel charge under Transwestern's FERC Gas Tariff </w:t>
      </w:r>
      <w:r>
        <w:rPr>
          <w:u w:val="single"/>
        </w:rPr>
        <w:t>multiplied by</w:t>
      </w:r>
      <w:r>
        <w:rPr/>
        <w:t xml:space="preserve"> the commodity price for natural gas as reported in </w:t>
      </w:r>
      <w:r>
        <w:rPr>
          <w:u w:val="single"/>
        </w:rPr>
        <w:t>Gas Daily</w:t>
      </w:r>
      <w:r>
        <w:rPr/>
        <w:t>, Daily Price Survey, Permian Basin, midpoint Transwestern))</w:t>
      </w:r>
    </w:p>
    <w:p>
      <w:pPr>
        <w:pStyle w:val="Normal"/>
        <w:widowControl w:val="false"/>
        <w:ind w:start="720" w:end="0"/>
        <w:rPr/>
      </w:pPr>
      <w:r>
        <w:rPr/>
      </w:r>
    </w:p>
    <w:p>
      <w:pPr>
        <w:pStyle w:val="Normal"/>
        <w:widowControl w:val="false"/>
        <w:ind w:hanging="360" w:start="1440" w:end="846"/>
        <w:rPr/>
      </w:pPr>
      <w:r>
        <w:rPr/>
        <w:t>**   "East Flow" shall mean gas transported from East-of-Thoreau receipt points (to include receipts from Window Rock and Thoreau) to East-of-Thoreau delivery points.</w:t>
      </w:r>
    </w:p>
    <w:p>
      <w:pPr>
        <w:pStyle w:val="Normal"/>
        <w:widowControl w:val="false"/>
        <w:ind w:start="1440" w:end="846"/>
        <w:rPr/>
      </w:pPr>
      <w:r>
        <w:rPr/>
      </w:r>
    </w:p>
    <w:p>
      <w:pPr>
        <w:pStyle w:val="Normal"/>
        <w:widowControl w:val="false"/>
        <w:tabs>
          <w:tab w:val="clear" w:pos="720"/>
          <w:tab w:val="left" w:pos="9900" w:leader="none"/>
        </w:tabs>
        <w:ind w:hanging="360" w:start="360" w:end="36"/>
        <w:rPr/>
      </w:pPr>
      <w:r>
        <w:rPr>
          <w:lang w:eastAsia="en-US"/>
        </w:rPr>
        <w:t xml:space="preserve">4.    Notwithstanding the provisions of paragraph 6 below, the parties hereto agree that the FTS-1 Agreement or a summary thereof shall be filed with the Federal Energy Regulatory Commission ("Commission") pursuant to the regulations applicable to negotiated rate transactions.  </w:t>
      </w:r>
      <w:r>
        <w:rPr/>
        <w:t>Should the Commission reject all or part of the agreement for any reason, the agreement shall immediately be void.</w:t>
      </w:r>
    </w:p>
    <w:p>
      <w:pPr>
        <w:pStyle w:val="Normal"/>
        <w:widowControl w:val="false"/>
        <w:rPr>
          <w:lang w:eastAsia="en-US"/>
        </w:rPr>
      </w:pPr>
      <w:r>
        <w:rPr>
          <w:lang w:eastAsia="en-US"/>
        </w:rPr>
      </w:r>
    </w:p>
    <w:p>
      <w:pPr>
        <w:pStyle w:val="Normal"/>
        <w:widowControl w:val="false"/>
        <w:ind w:hanging="360" w:start="360" w:end="0"/>
        <w:rPr/>
      </w:pPr>
      <w:r>
        <w:rPr>
          <w:lang w:eastAsia="en-US"/>
        </w:rPr>
        <w:t xml:space="preserve">5.    </w:t>
      </w:r>
      <w:r>
        <w:rPr/>
        <w:t xml:space="preserve">Shipper hereby gives notice to </w:t>
      </w:r>
      <w:r>
        <w:rPr>
          <w:spacing w:val="-3"/>
        </w:rPr>
        <w:t>Transwestern</w:t>
      </w:r>
      <w:r>
        <w:rPr/>
        <w:t xml:space="preserve"> that it does not desire to extend the term of the FTS-1 Agreement beyond the term stated herein, and hereby surrenders any right of first refusal to such capacity.</w:t>
      </w:r>
    </w:p>
    <w:p>
      <w:pPr>
        <w:pStyle w:val="Normal"/>
        <w:widowControl w:val="false"/>
        <w:rPr>
          <w:lang w:eastAsia="en-US"/>
        </w:rPr>
      </w:pPr>
      <w:r>
        <w:rPr>
          <w:lang w:eastAsia="en-US"/>
        </w:rPr>
      </w:r>
    </w:p>
    <w:p>
      <w:pPr>
        <w:pStyle w:val="Normal"/>
        <w:widowControl w:val="false"/>
        <w:ind w:hanging="360" w:start="360" w:end="0"/>
        <w:rPr>
          <w:lang w:eastAsia="en-US"/>
        </w:rPr>
      </w:pPr>
      <w:r>
        <w:rPr>
          <w:lang w:eastAsia="en-US"/>
        </w:rPr>
        <w:t>6.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April 1, 2000.  No other terms and conditions of the FTS-1 Agreement are affected hereby.  Except as amended herein, the FTS-1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ACCEPTED AND AGREED TO                                   </w:t>
        <w:tab/>
        <w:t>ACCEPTED AND AGREED TO</w:t>
      </w:r>
    </w:p>
    <w:p>
      <w:pPr>
        <w:pStyle w:val="Normal"/>
        <w:widowControl w:val="false"/>
        <w:rPr>
          <w:lang w:eastAsia="en-US"/>
        </w:rPr>
      </w:pPr>
      <w:r>
        <w:rPr>
          <w:lang w:eastAsia="en-US"/>
        </w:rPr>
      </w:r>
    </w:p>
    <w:p>
      <w:pPr>
        <w:pStyle w:val="Normal"/>
        <w:widowControl w:val="false"/>
        <w:rPr>
          <w:lang w:eastAsia="en-US"/>
        </w:rPr>
      </w:pPr>
      <w:r>
        <w:rPr>
          <w:lang w:eastAsia="en-US"/>
        </w:rPr>
        <w:t xml:space="preserve">This _________ day of _________________, 2000.       </w:t>
        <w:tab/>
        <w:t>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TRANSWESTERN PIPELINE COMPANY</w:t>
        <w:tab/>
        <w:t xml:space="preserve"> </w:t>
        <w:tab/>
        <w:t xml:space="preserve">          U.S. GAS TRANSMISSION, INC.</w:t>
      </w:r>
    </w:p>
    <w:p>
      <w:pPr>
        <w:pStyle w:val="Normal"/>
        <w:widowControl w:val="false"/>
        <w:rPr>
          <w:lang w:eastAsia="en-US"/>
        </w:rPr>
      </w:pPr>
      <w:r>
        <w:rPr>
          <w:lang w:eastAsia="en-US"/>
        </w:rPr>
        <w:tab/>
        <w:t xml:space="preserve">        "TRANSWESTERN"</w:t>
        <w:tab/>
        <w:tab/>
        <w:tab/>
        <w:tab/>
        <w:tab/>
        <w:t>"SHIPPER"</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w:t>
        <w:tab/>
        <w:t xml:space="preserve">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w:t>
        <w:tab/>
        <w:t xml:space="preserve">Title: 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sectPr>
      <w:footerReference w:type="default" r:id="rId2"/>
      <w:footerReference w:type="first" r:id="rId3"/>
      <w:type w:val="nextPage"/>
      <w:pgSz w:w="12240" w:h="15840"/>
      <w:pgMar w:left="1440" w:right="1440" w:gutter="0" w:header="0" w:top="1440" w:footer="720" w:bottom="13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lvl>
  </w:abstractNum>
  <w:abstractNum w:abstractNumId="3">
    <w:lvl w:ilvl="0">
      <w:start w:val="1"/>
      <w:numFmt w:val="lowerLetter"/>
      <w:lvlText w:val="%1."/>
      <w:lvlJc w:val="start"/>
      <w:pPr>
        <w:tabs>
          <w:tab w:val="num" w:pos="792"/>
        </w:tabs>
        <w:ind w:start="792" w:hanging="432"/>
      </w:pPr>
      <w:rPr>
        <w:i w:val="false"/>
        <w:u w:val="non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ind w:hanging="0" w:start="1440" w:end="0"/>
      <w:outlineLvl w:val="2"/>
    </w:pPr>
    <w:rPr>
      <w:u w:val="single"/>
    </w:rPr>
  </w:style>
  <w:style w:type="character" w:styleId="WW8Num1z0">
    <w:name w:val="WW8Num1z0"/>
    <w:qFormat/>
    <w:rPr/>
  </w:style>
  <w:style w:type="character" w:styleId="WW8Num3z0">
    <w:name w:val="WW8Num3z0"/>
    <w:qFormat/>
    <w:rPr>
      <w:b w:val="false"/>
      <w:i w:val="false"/>
      <w:u w:val="none"/>
    </w:rPr>
  </w:style>
  <w:style w:type="character" w:styleId="WW8Num4z0">
    <w:name w:val="WW8Num4z0"/>
    <w:qFormat/>
    <w:rPr/>
  </w:style>
  <w:style w:type="character" w:styleId="WW8Num5z0">
    <w:name w:val="WW8Num5z0"/>
    <w:qFormat/>
    <w:rPr>
      <w:b w:val="false"/>
      <w:i w:val="false"/>
      <w:u w:val="non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widowControl w:val="false"/>
      <w:ind w:hanging="0" w:start="900" w:end="1926"/>
    </w:pPr>
    <w:rPr>
      <w:lang w:eastAsia="en-US"/>
    </w:rPr>
  </w:style>
  <w:style w:type="paragraph" w:styleId="BodyTextIndent">
    <w:name w:val="Body Text Indent"/>
    <w:basedOn w:val="Normal"/>
    <w:pPr>
      <w:widowControl w:val="false"/>
      <w:ind w:hanging="0" w:start="360" w:end="0"/>
    </w:pPr>
    <w:rPr>
      <w:lang w:eastAsia="en-US"/>
    </w:rPr>
  </w:style>
  <w:style w:type="paragraph" w:styleId="BodyTextIndent2">
    <w:name w:val="Body Text Indent 2"/>
    <w:basedOn w:val="Normal"/>
    <w:qFormat/>
    <w:pPr>
      <w:widowControl w:val="false"/>
      <w:ind w:hanging="180" w:start="540" w:end="0"/>
    </w:pPr>
    <w:rPr>
      <w:lang w:eastAsia="en-US"/>
    </w:rPr>
  </w:style>
  <w:style w:type="paragraph" w:styleId="BodyTextIndent3">
    <w:name w:val="Body Text Indent 3"/>
    <w:basedOn w:val="Normal"/>
    <w:qFormat/>
    <w:pPr>
      <w:widowControl w:val="false"/>
      <w:ind w:hanging="360" w:start="360" w:end="0"/>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2000-03-24T18:44:00Z</dcterms:created>
  <dc:creator>Christine A Stokes</dc:creator>
  <dc:description/>
  <dc:language>en-CA</dc:language>
  <cp:lastModifiedBy>Christine A Stokes</cp:lastModifiedBy>
  <cp:lastPrinted>2000-03-24T10:39:00Z</cp:lastPrinted>
  <dcterms:modified xsi:type="dcterms:W3CDTF">2000-03-24T18:53:00Z</dcterms:modified>
  <cp:revision>3</cp:revision>
  <dc:subject/>
  <dc:title>Enron Capital &amp; Trade Resources</dc:title>
</cp:coreProperties>
</file>