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June 2,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 xml:space="preserve">Re: FTS-1 Agreement No.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Southwest Gas Corporation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3.    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discount shall be $.1500/MMBtu (rate) multiplied by the total contract quantity.   The total charge shall increase by $.005/MMBtu annually beginning November 1, 2001 for the term of the discount.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receipts and deliveries at the primary points of receipt and delivery set forth on Appendix A.  The discounted rate shall also apply to alternate receipt points in Transwestern’s East of Thoreau (EOT) Area as well as the alternate receipt point of Transwestern’s Bloomfield Compressor (POI #56498).  If any alternate receipt or delivery points are utilized other than alternate receipt points in Transwestern’s EOT Area or the alternate receipt point of POI #56498,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5.   Pursuant to Section 13 of Transwestern’s Rate Schedule FTS-1, Shipper hereby gives notice to Transwestern that it does not desire to extend the term of the FTS-1 Agreement, and hereby surrenders any right of first refusal to such capcity.</w:t>
      </w:r>
    </w:p>
    <w:p>
      <w:pPr>
        <w:pStyle w:val="Normal"/>
        <w:widowControl w:val="false"/>
        <w:tabs>
          <w:tab w:val="clear" w:pos="720"/>
          <w:tab w:val="left" w:pos="0" w:leader="none"/>
        </w:tabs>
        <w:rPr>
          <w:lang w:eastAsia="en-US"/>
        </w:rPr>
      </w:pPr>
      <w:r>
        <w:rPr>
          <w:lang w:eastAsia="en-US"/>
        </w:rPr>
      </w:r>
    </w:p>
    <w:p>
      <w:pPr>
        <w:pStyle w:val="Normal"/>
        <w:widowControl w:val="false"/>
        <w:tabs>
          <w:tab w:val="clear" w:pos="720"/>
          <w:tab w:val="left" w:pos="8550" w:leader="none"/>
        </w:tabs>
        <w:rPr>
          <w:lang w:eastAsia="en-US"/>
        </w:rPr>
      </w:pPr>
      <w:r>
        <w:rPr>
          <w:lang w:eastAsia="en-US"/>
        </w:rPr>
        <w:t>6.   To the extent authorized by Transwestern’s FERC Gas Tariff, as amended from time to time, Shipper agrees that if it utilizes Transwestern’s capacity release program to release, on either a temporary or permanent basis, any capacity subject to the discount continued herein at a rate greater than the discounted rate, Shipper shall receive a demand credit only for the amount of the discounted rate agreed to herein, and any additional value received for such capacity shall be retained by Transwestern.</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2000-05-30T13:27:00Z</dcterms:created>
  <dc:creator>Christine A Stokes</dc:creator>
  <dc:description/>
  <dc:language>en-CA</dc:language>
  <cp:lastModifiedBy>Enron</cp:lastModifiedBy>
  <cp:lastPrinted>2000-01-12T09:50:00Z</cp:lastPrinted>
  <dcterms:modified xsi:type="dcterms:W3CDTF">2000-05-30T17:19:00Z</dcterms:modified>
  <cp:revision>7</cp:revision>
  <dc:subject/>
  <dc:title>Enron Capital &amp; Trade Resources</dc:title>
</cp:coreProperties>
</file>