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pPr>
      <w:bookmarkStart w:id="0" w:name="OLE_LINK1"/>
      <w:r>
        <w:rPr/>
        <w:drawing>
          <wp:inline distT="0" distB="0" distL="0" distR="0">
            <wp:extent cx="1289050" cy="11341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8" t="-32" r="-28" b="-32"/>
                    <a:stretch>
                      <a:fillRect/>
                    </a:stretch>
                  </pic:blipFill>
                  <pic:spPr bwMode="auto">
                    <a:xfrm>
                      <a:off x="0" y="0"/>
                      <a:ext cx="1289050" cy="1134110"/>
                    </a:xfrm>
                    <a:prstGeom prst="rect">
                      <a:avLst/>
                    </a:prstGeom>
                    <a:noFill/>
                  </pic:spPr>
                </pic:pic>
              </a:graphicData>
            </a:graphic>
          </wp:inline>
        </w:drawing>
      </w:r>
      <w:bookmarkEnd w:id="0"/>
    </w:p>
    <w:p>
      <w:pPr>
        <w:pStyle w:val="Heading3"/>
        <w:ind w:hanging="0" w:start="0" w:end="90"/>
        <w:rPr/>
      </w:pPr>
      <w:r>
        <w:rPr>
          <w:smallCaps/>
          <w:color w:val="000000"/>
          <w:sz w:val="52"/>
        </w:rPr>
        <w:t xml:space="preserve">TeliOn </w:t>
      </w:r>
      <w:r>
        <w:rPr>
          <w:smallCaps/>
          <w:color w:val="000000"/>
        </w:rPr>
        <w:t>LLC</w:t>
      </w:r>
    </w:p>
    <w:p>
      <w:pPr>
        <w:pStyle w:val="Normal"/>
        <w:ind w:start="-450" w:end="0"/>
        <w:jc w:val="center"/>
        <w:rPr>
          <w:rFonts w:ascii="Garamond" w:hAnsi="Garamond" w:cs="Garamond"/>
          <w:sz w:val="6"/>
        </w:rPr>
      </w:pPr>
      <w:r>
        <w:rPr>
          <w:rFonts w:cs="Garamond" w:ascii="Garamond" w:hAnsi="Garamond"/>
          <w:sz w:val="6"/>
        </w:rPr>
      </w:r>
    </w:p>
    <w:p>
      <w:pPr>
        <w:pStyle w:val="Normal"/>
        <w:ind w:start="-450" w:end="0"/>
        <w:jc w:val="center"/>
        <w:rPr>
          <w:rFonts w:ascii="Garamond" w:hAnsi="Garamond" w:cs="Garamond"/>
        </w:rPr>
      </w:pPr>
      <w:r>
        <w:rPr>
          <w:rFonts w:cs="Garamond" w:ascii="Garamond" w:hAnsi="Garamond"/>
        </w:rPr>
        <w:t>__________________________________________________</w:t>
      </w:r>
    </w:p>
    <w:p>
      <w:pPr>
        <w:pStyle w:val="Normal"/>
        <w:ind w:start="-450" w:end="0"/>
        <w:rPr>
          <w:rFonts w:ascii="Garamond" w:hAnsi="Garamond" w:cs="Garamond"/>
        </w:rPr>
      </w:pPr>
      <w:r>
        <w:rPr>
          <w:rFonts w:cs="Garamond" w:ascii="Garamond" w:hAnsi="Garamond"/>
        </w:rPr>
      </w:r>
    </w:p>
    <w:p>
      <w:pPr>
        <w:pStyle w:val="Heading3"/>
        <w:ind w:hanging="0" w:start="-450" w:end="0"/>
        <w:rPr>
          <w:smallCaps/>
          <w:color w:val="000000"/>
          <w:sz w:val="32"/>
        </w:rPr>
      </w:pPr>
      <w:r>
        <w:rPr>
          <w:smallCaps/>
          <w:color w:val="000000"/>
          <w:sz w:val="32"/>
        </w:rPr>
        <w:t>Confidential Executive Summary</w:t>
      </w:r>
    </w:p>
    <w:p>
      <w:pPr>
        <w:pStyle w:val="Normal"/>
        <w:ind w:start="-450" w:end="0"/>
        <w:jc w:val="center"/>
        <w:rPr>
          <w:smallCaps/>
          <w:color w:val="000000"/>
          <w:sz w:val="32"/>
        </w:rPr>
      </w:pPr>
      <w:r>
        <w:rPr>
          <w:smallCaps/>
          <w:color w:val="000000"/>
          <w:sz w:val="32"/>
        </w:rPr>
      </w:r>
    </w:p>
    <w:p>
      <w:pPr>
        <w:pStyle w:val="Normal"/>
        <w:ind w:start="-450" w:end="0"/>
        <w:jc w:val="center"/>
        <w:rPr/>
      </w:pPr>
      <w:r>
        <w:rPr/>
      </w:r>
    </w:p>
    <w:p>
      <w:pPr>
        <w:pStyle w:val="Normal"/>
        <w:tabs>
          <w:tab w:val="left" w:pos="720" w:leader="none"/>
        </w:tabs>
        <w:ind w:start="-450" w:end="0"/>
        <w:jc w:val="center"/>
        <w:rPr>
          <w:b/>
          <w:smallCaps/>
          <w:sz w:val="26"/>
        </w:rPr>
      </w:pPr>
      <w:r>
        <w:rPr>
          <w:b/>
          <w:smallCaps/>
          <w:sz w:val="26"/>
        </w:rPr>
        <w:t>June 18, 2001</w:t>
      </w:r>
    </w:p>
    <w:p>
      <w:pPr>
        <w:pStyle w:val="Normal"/>
        <w:tabs>
          <w:tab w:val="left" w:pos="720" w:leader="none"/>
        </w:tabs>
        <w:ind w:start="-450" w:end="0"/>
        <w:jc w:val="both"/>
        <w:rPr>
          <w:b/>
          <w:smallCaps/>
          <w:sz w:val="26"/>
        </w:rPr>
      </w:pPr>
      <w:r>
        <w:rPr>
          <w:b/>
          <w:smallCaps/>
          <w:sz w:val="26"/>
        </w:rPr>
      </w:r>
    </w:p>
    <w:p>
      <w:pPr>
        <w:pStyle w:val="Normal"/>
        <w:ind w:start="-450" w:end="0"/>
        <w:jc w:val="both"/>
        <w:rPr>
          <w:b/>
          <w:i/>
          <w:i/>
          <w:sz w:val="18"/>
        </w:rPr>
      </w:pPr>
      <w:r>
        <w:rPr>
          <w:b/>
          <w:i/>
          <w:sz w:val="18"/>
        </w:rPr>
      </w:r>
    </w:p>
    <w:p>
      <w:pPr>
        <w:pStyle w:val="Normal"/>
        <w:ind w:start="-450" w:end="0"/>
        <w:jc w:val="both"/>
        <w:rPr/>
      </w:pPr>
      <w:r>
        <w:rPr>
          <w:b/>
          <w:i/>
          <w:sz w:val="18"/>
        </w:rPr>
        <w:t>Disclaimer</w:t>
      </w:r>
      <w:r>
        <w:rPr>
          <w:i/>
          <w:sz w:val="18"/>
        </w:rPr>
        <w:t xml:space="preserve">: This Executive Summary (the “Executive Summary”) has been prepared solely for informational purposes to assist qualified and invited interested parties in making their evaluation of TeliOn LLC, a Virginia limited liability company (the “Company”).  The Executive Summary does not purport to contain all of the information that a prospective purchaser of securities issued by the Company may desire.  In all cases, interested parties should conduct their own due diligence and analysis of the Company and of the information contained in the Executive Summary and further review any additional materials, including proprietary presentations and financial models, that may be provided by the Company.  Such information has not been independently verified and the Company makes no representation or warranty as to accuracy or completeness. The Company, its managers, officers, and equity holders shall have no liability for any representations or warranties (expressed or implied), financial forecasts, or forward-looking statements contained in or omitted from the Executive Summary or any other written or oral communications provided to prospective investors or purchasers in the course of their evaluation of the Company.  </w:t>
      </w:r>
    </w:p>
    <w:p>
      <w:pPr>
        <w:pStyle w:val="Normal"/>
        <w:ind w:start="-450" w:end="0"/>
        <w:jc w:val="both"/>
        <w:rPr>
          <w:i/>
          <w:i/>
          <w:sz w:val="18"/>
        </w:rPr>
      </w:pPr>
      <w:r>
        <w:rPr>
          <w:i/>
          <w:sz w:val="18"/>
        </w:rPr>
      </w:r>
    </w:p>
    <w:p>
      <w:pPr>
        <w:pStyle w:val="Normal"/>
        <w:ind w:start="-450" w:end="0"/>
        <w:jc w:val="both"/>
        <w:rPr>
          <w:i/>
          <w:i/>
          <w:sz w:val="18"/>
        </w:rPr>
      </w:pPr>
      <w:r>
        <w:rPr>
          <w:i/>
          <w:sz w:val="18"/>
        </w:rPr>
        <w:t>The Executive Summary contains financial forecasts and forward-looking statements.  Such forecasts and statements are based upon management’s best estimates and assumptions regarding the Company’s future performance and operations.  If the estimates and assumptions underlying the forecasts are not achieved or prove to be invalid, actual results will differ from those forecasted.</w:t>
      </w:r>
    </w:p>
    <w:p>
      <w:pPr>
        <w:pStyle w:val="Normal"/>
        <w:ind w:start="-450" w:end="0"/>
        <w:jc w:val="both"/>
        <w:rPr>
          <w:i/>
          <w:i/>
          <w:sz w:val="18"/>
        </w:rPr>
      </w:pPr>
      <w:r>
        <w:rPr>
          <w:i/>
          <w:sz w:val="18"/>
        </w:rPr>
      </w:r>
    </w:p>
    <w:p>
      <w:pPr>
        <w:pStyle w:val="Normal"/>
        <w:ind w:start="-450" w:end="0"/>
        <w:jc w:val="both"/>
        <w:rPr>
          <w:rFonts w:ascii="Garamond" w:hAnsi="Garamond" w:cs="Garamond"/>
          <w:sz w:val="18"/>
        </w:rPr>
      </w:pPr>
      <w:r>
        <w:rPr>
          <w:i/>
          <w:sz w:val="18"/>
        </w:rPr>
        <w:t>By accepting the Executive Summary, the recipient and any respective advisors and agents, acknowledge that other oral or written information provided to the recipient in connection with an evaluation of the Company shall be kept confidential.  Invited recipients of the Executive Summary who elect not to pursue this opportunity are requested to return this Executive Summary and all other material that may be provided by the Company, within seven (7) business days thereof, without retaining any copies, to the address below. Requests for additional information should be directed to the following:</w:t>
      </w:r>
    </w:p>
    <w:p>
      <w:pPr>
        <w:pStyle w:val="Normal"/>
        <w:ind w:start="-450" w:end="0"/>
        <w:jc w:val="center"/>
        <w:rPr>
          <w:rFonts w:ascii="Garamond" w:hAnsi="Garamond" w:cs="Garamond"/>
          <w:sz w:val="18"/>
        </w:rPr>
      </w:pPr>
      <w:r>
        <w:rPr>
          <w:rFonts w:cs="Garamond" w:ascii="Garamond" w:hAnsi="Garamond"/>
          <w:sz w:val="18"/>
        </w:rPr>
      </w:r>
    </w:p>
    <w:p>
      <w:pPr>
        <w:pStyle w:val="Normal"/>
        <w:ind w:start="-450" w:end="0"/>
        <w:jc w:val="center"/>
        <w:rPr>
          <w:b/>
          <w:sz w:val="18"/>
        </w:rPr>
      </w:pPr>
      <w:r>
        <w:rPr>
          <w:b/>
          <w:sz w:val="18"/>
        </w:rPr>
        <w:t xml:space="preserve">Mr. Thomas Colligan, Chairman </w:t>
      </w:r>
    </w:p>
    <w:p>
      <w:pPr>
        <w:pStyle w:val="Normal"/>
        <w:ind w:start="-450" w:end="0"/>
        <w:jc w:val="center"/>
        <w:rPr>
          <w:b/>
          <w:sz w:val="18"/>
        </w:rPr>
      </w:pPr>
      <w:r>
        <w:rPr>
          <w:b/>
          <w:sz w:val="18"/>
        </w:rPr>
        <w:t>Mr. Robert Colorina, Director</w:t>
      </w:r>
    </w:p>
    <w:p>
      <w:pPr>
        <w:pStyle w:val="Normal"/>
        <w:ind w:start="-450" w:end="0"/>
        <w:jc w:val="center"/>
        <w:rPr>
          <w:b/>
          <w:sz w:val="18"/>
        </w:rPr>
      </w:pPr>
      <w:r>
        <w:rPr>
          <w:b/>
          <w:sz w:val="18"/>
        </w:rPr>
        <w:t>TeliOn LLC</w:t>
      </w:r>
    </w:p>
    <w:p>
      <w:pPr>
        <w:pStyle w:val="Normal"/>
        <w:ind w:start="-450" w:end="0"/>
        <w:jc w:val="center"/>
        <w:rPr>
          <w:b/>
          <w:sz w:val="18"/>
        </w:rPr>
      </w:pPr>
      <w:r>
        <w:rPr>
          <w:b/>
          <w:sz w:val="18"/>
        </w:rPr>
        <w:t>477 Viking Drive, Suite 460</w:t>
      </w:r>
    </w:p>
    <w:p>
      <w:pPr>
        <w:pStyle w:val="Normal"/>
        <w:ind w:start="-450" w:end="0"/>
        <w:jc w:val="center"/>
        <w:rPr>
          <w:b/>
          <w:sz w:val="18"/>
        </w:rPr>
      </w:pPr>
      <w:r>
        <w:rPr>
          <w:b/>
          <w:sz w:val="18"/>
        </w:rPr>
        <w:t xml:space="preserve">Virginia Beach, Virginia 23452 </w:t>
      </w:r>
    </w:p>
    <w:p>
      <w:pPr>
        <w:pStyle w:val="Normal"/>
        <w:ind w:start="-450" w:end="0"/>
        <w:jc w:val="center"/>
        <w:rPr>
          <w:b/>
          <w:color w:val="000000"/>
          <w:sz w:val="18"/>
          <w:lang w:val="fr-FR"/>
        </w:rPr>
      </w:pPr>
      <w:r>
        <w:rPr>
          <w:b/>
          <w:sz w:val="18"/>
          <w:lang w:val="fr-FR"/>
        </w:rPr>
        <w:t>Tel: 804.438.5922</w:t>
      </w:r>
    </w:p>
    <w:p>
      <w:pPr>
        <w:pStyle w:val="Normal"/>
        <w:tabs>
          <w:tab w:val="left" w:pos="720" w:leader="none"/>
        </w:tabs>
        <w:ind w:start="-450" w:end="0"/>
        <w:jc w:val="center"/>
        <w:rPr>
          <w:b/>
          <w:color w:val="000000"/>
          <w:sz w:val="18"/>
          <w:lang w:val="fr-FR"/>
        </w:rPr>
      </w:pPr>
      <w:r>
        <w:rPr>
          <w:b/>
          <w:color w:val="000000"/>
          <w:sz w:val="18"/>
          <w:lang w:val="fr-FR"/>
        </w:rPr>
        <w:t xml:space="preserve">URL:  </w:t>
      </w:r>
      <w:hyperlink r:id="rId3">
        <w:r>
          <w:rPr>
            <w:rStyle w:val="Hyperlink"/>
            <w:b/>
            <w:sz w:val="18"/>
            <w:lang w:val="fr-FR"/>
          </w:rPr>
          <w:t>www.telion.tv</w:t>
        </w:r>
      </w:hyperlink>
    </w:p>
    <w:p>
      <w:pPr>
        <w:pStyle w:val="Normal"/>
        <w:tabs>
          <w:tab w:val="left" w:pos="720" w:leader="none"/>
        </w:tabs>
        <w:ind w:start="-450" w:end="0"/>
        <w:jc w:val="center"/>
        <w:rPr>
          <w:b/>
          <w:color w:val="000000"/>
          <w:sz w:val="18"/>
        </w:rPr>
      </w:pPr>
      <w:hyperlink r:id="rId4">
        <w:r>
          <w:rPr>
            <w:rStyle w:val="Hyperlink"/>
            <w:b/>
            <w:sz w:val="18"/>
          </w:rPr>
          <w:t>tom.colligan@telion.tv</w:t>
        </w:r>
      </w:hyperlink>
      <w:r>
        <w:rPr>
          <w:b/>
          <w:color w:val="000000"/>
          <w:sz w:val="18"/>
        </w:rPr>
        <w:t xml:space="preserve"> or </w:t>
      </w:r>
      <w:hyperlink r:id="rId5">
        <w:r>
          <w:rPr>
            <w:rStyle w:val="Hyperlink"/>
            <w:b/>
            <w:sz w:val="18"/>
          </w:rPr>
          <w:t>rob.colorina@telion.tv</w:t>
        </w:r>
      </w:hyperlink>
    </w:p>
    <w:p>
      <w:pPr>
        <w:pStyle w:val="Normal"/>
        <w:tabs>
          <w:tab w:val="left" w:pos="720" w:leader="none"/>
        </w:tabs>
        <w:ind w:start="-450" w:end="0"/>
        <w:jc w:val="center"/>
        <w:rPr>
          <w:b/>
          <w:color w:val="000000"/>
          <w:sz w:val="18"/>
        </w:rPr>
      </w:pPr>
      <w:r>
        <w:rPr>
          <w:b/>
          <w:color w:val="000000"/>
          <w:sz w:val="18"/>
        </w:rPr>
      </w:r>
    </w:p>
    <w:p>
      <w:pPr>
        <w:sectPr>
          <w:headerReference w:type="default" r:id="rId6"/>
          <w:footerReference w:type="default" r:id="rId7"/>
          <w:type w:val="nextPage"/>
          <w:pgSz w:w="12240" w:h="15840"/>
          <w:pgMar w:left="2250" w:right="1350" w:gutter="0" w:header="1152" w:top="1208" w:footer="1152" w:bottom="1208"/>
          <w:pgNumType w:start="1" w:fmt="decimal"/>
          <w:formProt w:val="false"/>
          <w:textDirection w:val="lrTb"/>
          <w:docGrid w:type="default" w:linePitch="360" w:charSpace="0"/>
        </w:sectPr>
        <w:pStyle w:val="Normal"/>
        <w:tabs>
          <w:tab w:val="left" w:pos="720" w:leader="none"/>
        </w:tabs>
        <w:jc w:val="center"/>
        <w:rPr>
          <w:b/>
          <w:sz w:val="18"/>
        </w:rPr>
      </w:pPr>
      <w:r>
        <w:rPr>
          <w:b/>
          <w:sz w:val="18"/>
        </w:rPr>
      </w:r>
    </w:p>
    <w:p>
      <w:pPr>
        <w:pStyle w:val="Heading4"/>
        <w:numPr>
          <w:ilvl w:val="0"/>
          <w:numId w:val="15"/>
        </w:numPr>
        <w:ind w:hanging="0" w:start="0"/>
        <w:rPr>
          <w:b/>
          <w:i/>
          <w:i/>
          <w:sz w:val="22"/>
        </w:rPr>
      </w:pPr>
      <w:r>
        <w:rPr>
          <w:b/>
          <w:i/>
          <w:sz w:val="22"/>
        </w:rPr>
        <w:t>Overview</w:t>
      </w:r>
    </w:p>
    <w:p>
      <w:pPr>
        <w:pStyle w:val="Normal"/>
        <w:rPr>
          <w:b/>
          <w:i/>
          <w:i/>
          <w:sz w:val="22"/>
        </w:rPr>
      </w:pPr>
      <w:r>
        <w:rPr>
          <w:b/>
          <w:i/>
          <w:sz w:val="22"/>
        </w:rPr>
      </w:r>
    </w:p>
    <w:p>
      <w:pPr>
        <w:pStyle w:val="Normal"/>
        <w:jc w:val="both"/>
        <w:rPr/>
      </w:pPr>
      <w:r>
        <w:rPr/>
        <w:t xml:space="preserve">TeliOn LLC (“TeliOn” or the “Company”) is a Virginia limited liability company currently conducting a </w:t>
      </w:r>
      <w:r>
        <w:rPr>
          <w:color w:val="000000"/>
        </w:rPr>
        <w:t xml:space="preserve">$3 million </w:t>
      </w:r>
      <w:r>
        <w:rPr/>
        <w:t>equity offering and seeking an additional $3 million in financing, including vendor financing, leasing arrangements, or additional equity investment. The funds will be used to build its fixed wireless broadband network for small and medium size companies throughout the Hampton Roads region of Virginia. This fast growing area includes 14 cities in the Southeast region of the state.  Two other initial metropolitan areas, Baltimore, MD, and Raleigh, NC, have been pre-selected for expansion at a later date because of their similar business population sizes, Internet usage, and demographics.</w:t>
      </w:r>
    </w:p>
    <w:p>
      <w:pPr>
        <w:pStyle w:val="Normal"/>
        <w:jc w:val="both"/>
        <w:rPr/>
      </w:pPr>
      <w:r>
        <w:rPr/>
        <w:t xml:space="preserve"> </w:t>
      </w:r>
    </w:p>
    <w:p>
      <w:pPr>
        <w:pStyle w:val="Normal"/>
        <w:jc w:val="both"/>
        <w:rPr/>
      </w:pPr>
      <w:r>
        <w:rPr/>
        <w:t>TeliOn management plans to implement new technology to create a next generation network that has as one of its many advantages a total cost of ownership that is approximately 90% less than that of traditional networks.  The Company intends to lock out competitors that would choose the same technology and frequencies in which TeliOn operates, by being the first mover.  The Company plans to take advantage of pent up demand for greater bandwidth, superior convenience and enhanced customer services.  In a recent Georgia Tech study, 61% of Internet subscribers surveyed expressed negative concerns over connection speeds.  In a Cambridge Consulting market study of digital subscriber line (DSL) subscribers, 43% of respondents stated a preference for bandwidth at rates higher than available through DSL.</w:t>
      </w:r>
    </w:p>
    <w:p>
      <w:pPr>
        <w:pStyle w:val="Normal"/>
        <w:jc w:val="both"/>
        <w:rPr>
          <w:sz w:val="22"/>
        </w:rPr>
      </w:pPr>
      <w:r>
        <w:rPr>
          <w:sz w:val="22"/>
        </w:rPr>
      </w:r>
    </w:p>
    <w:p>
      <w:pPr>
        <w:pStyle w:val="Univ-10"/>
        <w:rPr/>
      </w:pPr>
      <w:r>
        <w:rPr>
          <w:rFonts w:cs="Times New Roman" w:ascii="Times New Roman" w:hAnsi="Times New Roman"/>
        </w:rPr>
        <w:t xml:space="preserve">Competitive broadband services include DSL, cable and satellite. These services, </w:t>
      </w:r>
      <w:r>
        <w:rPr>
          <w:rFonts w:cs="Times New Roman" w:ascii="Times New Roman" w:hAnsi="Times New Roman"/>
          <w:i/>
        </w:rPr>
        <w:t>if available</w:t>
      </w:r>
      <w:r>
        <w:rPr>
          <w:rFonts w:cs="Times New Roman" w:ascii="Times New Roman" w:hAnsi="Times New Roman"/>
        </w:rPr>
        <w:t xml:space="preserve"> to a user, can have a service turn-up time of 5-6 weeks</w:t>
      </w:r>
      <w:r>
        <w:rPr/>
        <w:t xml:space="preserve">. </w:t>
      </w:r>
      <w:r>
        <w:rPr>
          <w:rFonts w:cs="Times New Roman" w:ascii="Times New Roman" w:hAnsi="Times New Roman"/>
        </w:rPr>
        <w:t xml:space="preserve">TeliOn solves the "last mile" connection hurdle with fixed wireless technology. Bypassing the local exchange carrier (Verizon, in this case), TeliOn offers </w:t>
      </w:r>
      <w:r>
        <w:rPr>
          <w:rFonts w:cs="Times New Roman" w:ascii="Times New Roman" w:hAnsi="Times New Roman"/>
          <w:i/>
        </w:rPr>
        <w:t>flat rate</w:t>
      </w:r>
      <w:r>
        <w:rPr>
          <w:rFonts w:cs="Times New Roman" w:ascii="Times New Roman" w:hAnsi="Times New Roman"/>
        </w:rPr>
        <w:t xml:space="preserve"> price packages for high-speed data, unlimited internet access, local dial tone and unlimited long-distance telephone service, all with a projected service turn-up time of 5 business days or less. The Company intends to offer its customers a compelling value proposition as compared to existing broadband service offerings:</w:t>
      </w:r>
    </w:p>
    <w:p>
      <w:pPr>
        <w:pStyle w:val="Heading2"/>
        <w:numPr>
          <w:ilvl w:val="0"/>
          <w:numId w:val="5"/>
        </w:numPr>
        <w:tabs>
          <w:tab w:val="clear" w:pos="720"/>
          <w:tab w:val="left" w:pos="3240" w:leader="none"/>
        </w:tabs>
        <w:spacing w:lineRule="exact" w:line="180" w:before="180" w:after="0"/>
        <w:ind w:hanging="360" w:start="3240" w:end="0"/>
        <w:jc w:val="both"/>
        <w:rPr>
          <w:b w:val="false"/>
          <w:color w:val="000000"/>
          <w:sz w:val="22"/>
        </w:rPr>
      </w:pPr>
      <w:r>
        <w:rPr>
          <w:b w:val="false"/>
          <w:color w:val="000000"/>
          <w:sz w:val="22"/>
        </w:rPr>
        <w:t xml:space="preserve">10 times higher bandwidth </w:t>
      </w:r>
    </w:p>
    <w:p>
      <w:pPr>
        <w:pStyle w:val="Heading2"/>
        <w:numPr>
          <w:ilvl w:val="0"/>
          <w:numId w:val="5"/>
        </w:numPr>
        <w:tabs>
          <w:tab w:val="clear" w:pos="720"/>
          <w:tab w:val="left" w:pos="3240" w:leader="none"/>
        </w:tabs>
        <w:spacing w:lineRule="exact" w:line="180" w:before="180" w:after="0"/>
        <w:ind w:hanging="360" w:start="3240" w:end="0"/>
        <w:jc w:val="both"/>
        <w:rPr>
          <w:b w:val="false"/>
          <w:color w:val="000000"/>
          <w:sz w:val="22"/>
        </w:rPr>
      </w:pPr>
      <w:r>
        <w:rPr>
          <w:b w:val="false"/>
          <w:color w:val="000000"/>
          <w:sz w:val="22"/>
        </w:rPr>
        <w:t>One-eighth the turn–up time</w:t>
      </w:r>
    </w:p>
    <w:p>
      <w:pPr>
        <w:pStyle w:val="Normal"/>
        <w:spacing w:lineRule="exact" w:line="180"/>
        <w:ind w:start="2467" w:end="0"/>
        <w:rPr>
          <w:b/>
          <w:color w:val="000000"/>
          <w:sz w:val="22"/>
        </w:rPr>
      </w:pPr>
      <w:r>
        <w:rPr>
          <w:b/>
          <w:color w:val="000000"/>
          <w:sz w:val="22"/>
        </w:rPr>
      </w:r>
    </w:p>
    <w:p>
      <w:pPr>
        <w:pStyle w:val="Normal"/>
        <w:numPr>
          <w:ilvl w:val="0"/>
          <w:numId w:val="5"/>
        </w:numPr>
        <w:tabs>
          <w:tab w:val="clear" w:pos="720"/>
          <w:tab w:val="left" w:pos="3240" w:leader="none"/>
        </w:tabs>
        <w:spacing w:lineRule="exact" w:line="200"/>
        <w:ind w:hanging="360" w:start="3240" w:end="0"/>
        <w:rPr>
          <w:sz w:val="22"/>
        </w:rPr>
      </w:pPr>
      <w:r>
        <w:rPr>
          <w:sz w:val="22"/>
        </w:rPr>
        <w:t>Savings to exceed 25%</w:t>
      </w:r>
    </w:p>
    <w:p>
      <w:pPr>
        <w:pStyle w:val="Normal"/>
        <w:spacing w:lineRule="exact" w:line="200"/>
        <w:rPr>
          <w:sz w:val="22"/>
        </w:rPr>
      </w:pPr>
      <w:r>
        <w:rPr>
          <w:sz w:val="22"/>
        </w:rPr>
      </w:r>
    </w:p>
    <w:p>
      <w:pPr>
        <w:pStyle w:val="Normal"/>
        <w:numPr>
          <w:ilvl w:val="0"/>
          <w:numId w:val="5"/>
        </w:numPr>
        <w:tabs>
          <w:tab w:val="clear" w:pos="720"/>
          <w:tab w:val="left" w:pos="3240" w:leader="none"/>
        </w:tabs>
        <w:spacing w:lineRule="exact" w:line="220"/>
        <w:ind w:hanging="360" w:start="3240" w:end="0"/>
        <w:rPr>
          <w:sz w:val="22"/>
        </w:rPr>
      </w:pPr>
      <w:r>
        <w:rPr>
          <w:sz w:val="22"/>
        </w:rPr>
        <w:t>Broadband Internet</w:t>
      </w:r>
    </w:p>
    <w:p>
      <w:pPr>
        <w:pStyle w:val="Normal"/>
        <w:spacing w:lineRule="exact" w:line="180"/>
        <w:ind w:start="2467" w:end="0"/>
        <w:rPr>
          <w:sz w:val="22"/>
        </w:rPr>
      </w:pPr>
      <w:r>
        <w:rPr>
          <w:sz w:val="22"/>
        </w:rPr>
      </w:r>
    </w:p>
    <w:p>
      <w:pPr>
        <w:pStyle w:val="Normal"/>
        <w:numPr>
          <w:ilvl w:val="0"/>
          <w:numId w:val="5"/>
        </w:numPr>
        <w:tabs>
          <w:tab w:val="clear" w:pos="720"/>
          <w:tab w:val="left" w:pos="3240" w:leader="none"/>
        </w:tabs>
        <w:spacing w:lineRule="exact" w:line="180"/>
        <w:ind w:hanging="360" w:start="3240" w:end="0"/>
        <w:rPr>
          <w:sz w:val="22"/>
        </w:rPr>
      </w:pPr>
      <w:r>
        <w:rPr>
          <w:sz w:val="22"/>
        </w:rPr>
        <w:t>Local Telephone Service</w:t>
      </w:r>
    </w:p>
    <w:p>
      <w:pPr>
        <w:pStyle w:val="Normal"/>
        <w:spacing w:lineRule="exact" w:line="180"/>
        <w:ind w:start="2467" w:end="0"/>
        <w:rPr>
          <w:sz w:val="22"/>
        </w:rPr>
      </w:pPr>
      <w:r>
        <w:rPr>
          <w:sz w:val="22"/>
        </w:rPr>
      </w:r>
    </w:p>
    <w:p>
      <w:pPr>
        <w:pStyle w:val="Normal"/>
        <w:numPr>
          <w:ilvl w:val="0"/>
          <w:numId w:val="5"/>
        </w:numPr>
        <w:tabs>
          <w:tab w:val="clear" w:pos="720"/>
          <w:tab w:val="left" w:pos="3240" w:leader="none"/>
        </w:tabs>
        <w:spacing w:lineRule="exact" w:line="180"/>
        <w:ind w:hanging="360" w:start="3240" w:end="0"/>
        <w:rPr>
          <w:sz w:val="22"/>
        </w:rPr>
      </w:pPr>
      <w:r>
        <w:rPr>
          <w:sz w:val="22"/>
        </w:rPr>
        <w:t>Long Distance Telephone Service</w:t>
      </w:r>
    </w:p>
    <w:p>
      <w:pPr>
        <w:pStyle w:val="Normal"/>
        <w:spacing w:lineRule="exact" w:line="180"/>
        <w:ind w:start="2467" w:end="0"/>
        <w:rPr>
          <w:sz w:val="22"/>
        </w:rPr>
      </w:pPr>
      <w:r>
        <w:rPr>
          <w:sz w:val="22"/>
        </w:rPr>
      </w:r>
    </w:p>
    <w:p>
      <w:pPr>
        <w:pStyle w:val="Normal"/>
        <w:numPr>
          <w:ilvl w:val="0"/>
          <w:numId w:val="5"/>
        </w:numPr>
        <w:tabs>
          <w:tab w:val="clear" w:pos="720"/>
          <w:tab w:val="left" w:pos="3240" w:leader="none"/>
        </w:tabs>
        <w:spacing w:lineRule="exact" w:line="180"/>
        <w:ind w:hanging="360" w:start="3240" w:end="0"/>
        <w:rPr>
          <w:sz w:val="22"/>
        </w:rPr>
      </w:pPr>
      <w:r>
        <w:rPr>
          <w:sz w:val="22"/>
        </w:rPr>
        <w:t>And other value added services</w:t>
      </w:r>
    </w:p>
    <w:p>
      <w:pPr>
        <w:pStyle w:val="Normal"/>
        <w:jc w:val="both"/>
        <w:rPr>
          <w:b/>
          <w:color w:val="000000"/>
          <w:sz w:val="22"/>
        </w:rPr>
      </w:pPr>
      <w:r>
        <w:rPr>
          <w:b/>
          <w:color w:val="000000"/>
          <w:sz w:val="22"/>
        </w:rPr>
      </w:r>
    </w:p>
    <w:p>
      <w:pPr>
        <w:pStyle w:val="Univ-10"/>
        <w:rPr>
          <w:rFonts w:ascii="Times New Roman" w:hAnsi="Times New Roman" w:cs="Times New Roman"/>
          <w:color w:val="000000"/>
        </w:rPr>
      </w:pPr>
      <w:r>
        <w:rPr>
          <w:rFonts w:cs="Times New Roman" w:ascii="Times New Roman" w:hAnsi="Times New Roman"/>
        </w:rPr>
        <w:t>At first, the Company will focus on small and medium-sized businesses, campuses and multi-tenant buildings.  Based solely on its three-region model, TeliOn projects to generate 2001 revenue of $0.5 million in its first partial year of operation and to grow to over $6 million in revenue and positive EBITDA in 2002.  Revenue for 2005 is projected to be over $40 million.  TeliOn believes that a reasonable measure of enterprise value, based upon industry accepted multiples of revenue, operating profits, and subscriber base methods, will place TeliOn’s value at $112.7 million for that same year. The business plan reaches these profit goals while assuming no more than a 6%, five-year, market penetration.</w:t>
      </w:r>
    </w:p>
    <w:p>
      <w:pPr>
        <w:pStyle w:val="Heading2"/>
        <w:spacing w:before="180" w:after="0"/>
        <w:ind w:hanging="0" w:start="0"/>
        <w:jc w:val="both"/>
        <w:rPr/>
      </w:pPr>
      <w:r>
        <w:rPr>
          <w:b w:val="false"/>
          <w:bCs/>
          <w:sz w:val="20"/>
        </w:rPr>
        <w:t>In the recent past, prior to forming TeliOn, TeliOn’s founders created simultaneous DSL marketing campaigns at Adelphia Business Solutions and Picus that resulted in 12% penetration in 18 months.  While DSL and cable are only available to a limited percentage of users, these methods of delivering broadband data services have heightened consumer awareness and appetite for more broadband services.  Management expects that our fixed-wireless approach will enable TeliOn to reach over 90% of potential customers.  TeliOn plans to begin providing full voice service in the fourth quarter, 2001, with all new second-generation soft-switch technology coming this year. In fact, TeliOn’s affiliate, Cyris LLC, has already applied for and received CLEC licensure and is currently in negotiations with Verizon for network interconnections, which are two key steps necessary to providing voice service in 4</w:t>
      </w:r>
      <w:r>
        <w:rPr>
          <w:b w:val="false"/>
          <w:bCs/>
          <w:sz w:val="20"/>
          <w:vertAlign w:val="superscript"/>
        </w:rPr>
        <w:t>th</w:t>
      </w:r>
      <w:r>
        <w:rPr>
          <w:b w:val="false"/>
          <w:bCs/>
          <w:sz w:val="20"/>
        </w:rPr>
        <w:t xml:space="preserve"> quarter. This breakthrough approach will allow TeliOn to deploy digital voice service with a cost framework not </w:t>
      </w:r>
      <w:r>
        <w:rPr>
          <w:b w:val="false"/>
          <w:sz w:val="20"/>
        </w:rPr>
        <w:t>possible in the past. The Company's projected results have been predicated on its founders' proven track record of bringing new technology and services quickly to market, as well as leveraging long-time trade and customer relationships.</w:t>
      </w:r>
    </w:p>
    <w:p>
      <w:pPr>
        <w:pStyle w:val="Normal"/>
        <w:rPr>
          <w:b/>
          <w:sz w:val="20"/>
        </w:rPr>
      </w:pPr>
      <w:r>
        <w:rPr>
          <w:b/>
          <w:sz w:val="20"/>
        </w:rPr>
      </w:r>
    </w:p>
    <w:p>
      <w:pPr>
        <w:pStyle w:val="Normal"/>
        <w:jc w:val="both"/>
        <w:rPr>
          <w:color w:val="000000"/>
        </w:rPr>
      </w:pPr>
      <w:r>
        <w:rPr>
          <w:color w:val="000000"/>
        </w:rPr>
        <w:t>TeliOn plans to bun</w:t>
      </w:r>
      <w:r>
        <w:rPr/>
        <w:t xml:space="preserve">dle voice, data and other services. </w:t>
      </w:r>
      <w:r>
        <w:rPr>
          <w:color w:val="000000"/>
        </w:rPr>
        <w:t>This technology allows TeliOn to provide a customer with multiple phones and fax lines as well as high-speed Internet access.  This wireless service bypasses the incumbent phone company’s existing copper infrastructure and virtually eliminates coordination with the incumbent.  The Company’s packet based backbone allows for a distributed “soft-switched” network which will provide enhanced services at a lower cost versus the legacy “big iron” approach</w:t>
      </w:r>
      <w:r>
        <w:rPr/>
        <w:t xml:space="preserve"> utilized by the RBOCs and many traditional CLECs.  </w:t>
      </w:r>
    </w:p>
    <w:p>
      <w:pPr>
        <w:pStyle w:val="Normal"/>
        <w:jc w:val="both"/>
        <w:rPr>
          <w:color w:val="000000"/>
        </w:rPr>
      </w:pPr>
      <w:r>
        <w:rPr>
          <w:color w:val="000000"/>
        </w:rPr>
      </w:r>
    </w:p>
    <w:p>
      <w:pPr>
        <w:pStyle w:val="Normal"/>
        <w:jc w:val="both"/>
        <w:rPr>
          <w:color w:val="000000"/>
        </w:rPr>
      </w:pPr>
      <w:r>
        <w:rPr>
          <w:color w:val="000000"/>
        </w:rPr>
        <w:t>TeliOn's management plans to execute a focused business strategy outlined as follows:</w:t>
      </w:r>
    </w:p>
    <w:p>
      <w:pPr>
        <w:pStyle w:val="Normal"/>
        <w:jc w:val="both"/>
        <w:rPr>
          <w:color w:val="000000"/>
          <w:sz w:val="22"/>
        </w:rPr>
      </w:pPr>
      <w:r>
        <w:rPr>
          <w:color w:val="000000"/>
          <w:sz w:val="22"/>
        </w:rPr>
      </w:r>
    </w:p>
    <w:p>
      <w:pPr>
        <w:pStyle w:val="Normal"/>
        <w:numPr>
          <w:ilvl w:val="0"/>
          <w:numId w:val="7"/>
        </w:numPr>
        <w:jc w:val="both"/>
        <w:rPr>
          <w:color w:val="000000"/>
        </w:rPr>
      </w:pPr>
      <w:r>
        <w:rPr>
          <w:b/>
          <w:color w:val="000000"/>
          <w:sz w:val="22"/>
        </w:rPr>
        <w:t>Wireless Approach</w:t>
      </w:r>
      <w:r>
        <w:rPr>
          <w:color w:val="000000"/>
          <w:sz w:val="22"/>
        </w:rPr>
        <w:t xml:space="preserve">: </w:t>
      </w:r>
      <w:r>
        <w:rPr>
          <w:color w:val="000000"/>
        </w:rPr>
        <w:t>bridges the last mile, solves capital and LEC issues.</w:t>
      </w:r>
    </w:p>
    <w:p>
      <w:pPr>
        <w:pStyle w:val="Normal"/>
        <w:numPr>
          <w:ilvl w:val="0"/>
          <w:numId w:val="7"/>
        </w:numPr>
        <w:jc w:val="both"/>
        <w:rPr>
          <w:color w:val="000000"/>
        </w:rPr>
      </w:pPr>
      <w:r>
        <w:rPr>
          <w:b/>
          <w:color w:val="000000"/>
          <w:sz w:val="22"/>
        </w:rPr>
        <w:t>Edge Strategy:</w:t>
      </w:r>
      <w:r>
        <w:rPr>
          <w:color w:val="000000"/>
          <w:sz w:val="22"/>
        </w:rPr>
        <w:t xml:space="preserve"> </w:t>
      </w:r>
      <w:r>
        <w:rPr>
          <w:color w:val="000000"/>
        </w:rPr>
        <w:t>target second tier U.S. markets, MSAs 25</w:t>
      </w:r>
      <w:r>
        <w:rPr>
          <w:color w:val="000000"/>
          <w:vertAlign w:val="superscript"/>
        </w:rPr>
        <w:t>th</w:t>
      </w:r>
      <w:r>
        <w:rPr>
          <w:color w:val="000000"/>
        </w:rPr>
        <w:t xml:space="preserve"> to 100</w:t>
      </w:r>
      <w:r>
        <w:rPr>
          <w:color w:val="000000"/>
          <w:vertAlign w:val="superscript"/>
        </w:rPr>
        <w:t>th</w:t>
      </w:r>
      <w:r>
        <w:rPr>
          <w:color w:val="000000"/>
        </w:rPr>
        <w:t xml:space="preserve"> in market size, with less than 2 million residents.</w:t>
      </w:r>
    </w:p>
    <w:p>
      <w:pPr>
        <w:pStyle w:val="Normal"/>
        <w:numPr>
          <w:ilvl w:val="0"/>
          <w:numId w:val="7"/>
        </w:numPr>
        <w:jc w:val="both"/>
        <w:rPr>
          <w:color w:val="000000"/>
        </w:rPr>
      </w:pPr>
      <w:r>
        <w:rPr>
          <w:b/>
          <w:color w:val="000000"/>
          <w:sz w:val="22"/>
        </w:rPr>
        <w:t>Market Strategy:</w:t>
      </w:r>
      <w:r>
        <w:rPr>
          <w:color w:val="000000"/>
          <w:sz w:val="22"/>
        </w:rPr>
        <w:t xml:space="preserve"> </w:t>
      </w:r>
      <w:r>
        <w:rPr>
          <w:color w:val="000000"/>
        </w:rPr>
        <w:t>utilize multi-tier sales and marketing approach including direct sales, telemarketing, advertising, and agent relationships.  TeliOn will provide a wide variety of useful and easy-to-use enhanced features.  This approach will lead to brand recognition, and customer “stickiness” or retention due to perceived value.</w:t>
      </w:r>
    </w:p>
    <w:p>
      <w:pPr>
        <w:pStyle w:val="Normal"/>
        <w:numPr>
          <w:ilvl w:val="0"/>
          <w:numId w:val="7"/>
        </w:numPr>
        <w:jc w:val="both"/>
        <w:rPr>
          <w:color w:val="000000"/>
        </w:rPr>
      </w:pPr>
      <w:r>
        <w:rPr>
          <w:b/>
          <w:color w:val="000000"/>
          <w:sz w:val="22"/>
        </w:rPr>
        <w:t>Quality Control:</w:t>
      </w:r>
      <w:r>
        <w:rPr>
          <w:color w:val="000000"/>
          <w:sz w:val="22"/>
        </w:rPr>
        <w:t xml:space="preserve"> </w:t>
      </w:r>
      <w:r>
        <w:rPr>
          <w:color w:val="000000"/>
        </w:rPr>
        <w:t>provide a fully integrated telecommunications capability, including world-class customer service and quality engineering services.</w:t>
      </w:r>
    </w:p>
    <w:p>
      <w:pPr>
        <w:pStyle w:val="Normal"/>
        <w:numPr>
          <w:ilvl w:val="0"/>
          <w:numId w:val="7"/>
        </w:numPr>
        <w:jc w:val="both"/>
        <w:rPr/>
      </w:pPr>
      <w:r>
        <w:rPr>
          <w:b/>
          <w:color w:val="000000"/>
          <w:sz w:val="22"/>
        </w:rPr>
        <w:t>Value Added Products/Managed Services:</w:t>
      </w:r>
      <w:r>
        <w:rPr>
          <w:color w:val="000000"/>
          <w:sz w:val="22"/>
        </w:rPr>
        <w:t xml:space="preserve"> </w:t>
      </w:r>
      <w:r>
        <w:rPr>
          <w:color w:val="000000"/>
        </w:rPr>
        <w:t>Virtual Private Networks (VPN), Unified Messaging, Centralized Anti-Virus Protection, Web Hosting, Streaming Media and other managed services.</w:t>
      </w:r>
    </w:p>
    <w:p>
      <w:pPr>
        <w:pStyle w:val="Normal"/>
        <w:numPr>
          <w:ilvl w:val="0"/>
          <w:numId w:val="7"/>
        </w:numPr>
        <w:jc w:val="both"/>
        <w:rPr/>
      </w:pPr>
      <w:r>
        <w:rPr>
          <w:b/>
          <w:color w:val="000000"/>
          <w:sz w:val="22"/>
        </w:rPr>
        <w:t xml:space="preserve">Capital Efficiency: </w:t>
      </w:r>
      <w:r>
        <w:rPr>
          <w:color w:val="000000"/>
        </w:rPr>
        <w:t>this same business model should allow management to maintain gross margins in excess of 80%.  Management projects positive EBITDA in 20 months and profitability in 27 months.</w:t>
      </w:r>
    </w:p>
    <w:p>
      <w:pPr>
        <w:pStyle w:val="Normal"/>
        <w:numPr>
          <w:ilvl w:val="0"/>
          <w:numId w:val="7"/>
        </w:numPr>
        <w:jc w:val="both"/>
        <w:rPr>
          <w:color w:val="000000"/>
        </w:rPr>
      </w:pPr>
      <w:r>
        <w:rPr>
          <w:b/>
          <w:color w:val="000000"/>
          <w:sz w:val="22"/>
        </w:rPr>
        <w:t>First to Market:</w:t>
      </w:r>
      <w:r>
        <w:rPr>
          <w:color w:val="000000"/>
          <w:sz w:val="22"/>
        </w:rPr>
        <w:t xml:space="preserve"> </w:t>
      </w:r>
      <w:r>
        <w:rPr>
          <w:color w:val="000000"/>
        </w:rPr>
        <w:t>for new technology products and integrated services to the target customer.</w:t>
      </w:r>
    </w:p>
    <w:p>
      <w:pPr>
        <w:pStyle w:val="Normal"/>
        <w:numPr>
          <w:ilvl w:val="0"/>
          <w:numId w:val="7"/>
        </w:numPr>
        <w:jc w:val="both"/>
        <w:rPr/>
      </w:pPr>
      <w:r>
        <w:rPr>
          <w:b/>
          <w:sz w:val="22"/>
        </w:rPr>
        <w:t>Managed Growth:</w:t>
      </w:r>
      <w:r>
        <w:rPr>
          <w:sz w:val="22"/>
        </w:rPr>
        <w:t xml:space="preserve"> </w:t>
      </w:r>
      <w:r>
        <w:rPr/>
        <w:t>accelerate the growth of customer base and expand product offerings through acquisition and franchising.</w:t>
      </w:r>
    </w:p>
    <w:p>
      <w:pPr>
        <w:pStyle w:val="Normal"/>
        <w:jc w:val="both"/>
        <w:rPr>
          <w:sz w:val="22"/>
        </w:rPr>
      </w:pPr>
      <w:r>
        <w:rPr>
          <w:sz w:val="22"/>
        </w:rPr>
      </w:r>
    </w:p>
    <w:p>
      <w:pPr>
        <w:pStyle w:val="Heading4"/>
        <w:keepLines/>
        <w:numPr>
          <w:ilvl w:val="0"/>
          <w:numId w:val="15"/>
        </w:numPr>
        <w:ind w:hanging="0" w:start="0"/>
        <w:rPr>
          <w:b/>
          <w:i/>
          <w:i/>
          <w:sz w:val="22"/>
        </w:rPr>
      </w:pPr>
      <w:r>
        <w:rPr>
          <w:b/>
          <w:i/>
          <w:sz w:val="22"/>
        </w:rPr>
        <w:t>Current Environment</w:t>
      </w:r>
    </w:p>
    <w:p>
      <w:pPr>
        <w:pStyle w:val="Normal"/>
        <w:keepNext w:val="true"/>
        <w:keepLines/>
        <w:rPr>
          <w:b/>
          <w:i/>
          <w:i/>
          <w:sz w:val="22"/>
        </w:rPr>
      </w:pPr>
      <w:r>
        <w:rPr>
          <w:b/>
          <w:i/>
          <w:sz w:val="22"/>
        </w:rPr>
      </w:r>
    </w:p>
    <w:p>
      <w:pPr>
        <w:pStyle w:val="BodyText"/>
        <w:keepNext w:val="true"/>
        <w:keepLines/>
        <w:rPr>
          <w:sz w:val="20"/>
        </w:rPr>
      </w:pPr>
      <w:r>
        <w:rPr>
          <w:sz w:val="20"/>
        </w:rPr>
        <w:t>As convergence, the bundling of data, voice, and video, drives consumer broadband demand, the appetite for streaming media (transmitting multimedia files) and synchronous habits (data moving both downstream and upstream) has grown correspondingly.  In 2000, the streaming audience grew 65%, according to Nielsen Ratings, with a 106% annualized growth of user hours per month.</w:t>
      </w:r>
    </w:p>
    <w:p>
      <w:pPr>
        <w:pStyle w:val="Normal"/>
        <w:rPr>
          <w:sz w:val="20"/>
        </w:rPr>
      </w:pPr>
      <w:r>
        <w:rPr>
          <w:sz w:val="20"/>
        </w:rPr>
      </w:r>
    </w:p>
    <w:p>
      <w:pPr>
        <w:pStyle w:val="BodyText"/>
        <w:rPr>
          <w:sz w:val="20"/>
        </w:rPr>
      </w:pPr>
      <w:r>
        <w:rPr>
          <w:sz w:val="20"/>
        </w:rPr>
        <w:t>The following results of an Arbitron study highlight the shift from slower traditional dial-up connection types to broadband offerings:</w:t>
      </w:r>
    </w:p>
    <w:p>
      <w:pPr>
        <w:pStyle w:val="Normal"/>
        <w:rPr>
          <w:sz w:val="22"/>
        </w:rPr>
      </w:pPr>
      <w:r>
        <w:rPr>
          <w:sz w:val="22"/>
        </w:rPr>
      </w:r>
    </w:p>
    <w:p>
      <w:pPr>
        <w:pStyle w:val="Normal"/>
        <w:rPr>
          <w:sz w:val="22"/>
        </w:rPr>
      </w:pPr>
      <w:r>
        <w:rPr>
          <w:sz w:val="22"/>
        </w:rPr>
      </w:r>
    </w:p>
    <w:tbl>
      <w:tblPr>
        <w:tblW w:w="6930" w:type="dxa"/>
        <w:jc w:val="start"/>
        <w:tblInd w:w="1188" w:type="dxa"/>
        <w:tblLayout w:type="fixed"/>
        <w:tblCellMar>
          <w:top w:w="0" w:type="dxa"/>
          <w:start w:w="108" w:type="dxa"/>
          <w:bottom w:w="0" w:type="dxa"/>
          <w:end w:w="108" w:type="dxa"/>
        </w:tblCellMar>
      </w:tblPr>
      <w:tblGrid>
        <w:gridCol w:w="2070"/>
        <w:gridCol w:w="1620"/>
        <w:gridCol w:w="1620"/>
        <w:gridCol w:w="162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Connection Type</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Dec 1999</w:t>
            </w:r>
          </w:p>
          <w:p>
            <w:pPr>
              <w:pStyle w:val="Normal"/>
              <w:jc w:val="center"/>
              <w:rPr>
                <w:sz w:val="22"/>
              </w:rPr>
            </w:pPr>
            <w:r>
              <w:rPr>
                <w:sz w:val="22"/>
              </w:rPr>
              <w:t>(Millions)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Dec 2000</w:t>
            </w:r>
          </w:p>
          <w:p>
            <w:pPr>
              <w:pStyle w:val="Normal"/>
              <w:jc w:val="center"/>
              <w:rPr>
                <w:sz w:val="22"/>
              </w:rPr>
            </w:pPr>
            <w:r>
              <w:rPr>
                <w:sz w:val="22"/>
              </w:rPr>
              <w:t>(Millions)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 Change</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14.4 K Modem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6.1</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4.8</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-20.4%</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28.8 K Modem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31.6</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22.9</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-27.3%</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56 K Modem</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30.9</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57.9</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87.3%</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Broadband</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4.7</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11.7</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147.7%</w:t>
            </w:r>
          </w:p>
        </w:tc>
      </w:tr>
    </w:tbl>
    <w:p>
      <w:pPr>
        <w:pStyle w:val="Normal"/>
        <w:rPr>
          <w:sz w:val="22"/>
        </w:rPr>
      </w:pPr>
      <w:r>
        <w:rPr>
          <w:sz w:val="22"/>
        </w:rPr>
      </w:r>
    </w:p>
    <w:p>
      <w:pPr>
        <w:pStyle w:val="BodyText"/>
        <w:rPr>
          <w:sz w:val="20"/>
        </w:rPr>
      </w:pPr>
      <w:r>
        <w:rPr>
          <w:sz w:val="20"/>
        </w:rPr>
        <w:t xml:space="preserve">Strategis and separately Ovum research forecast that one half of the nation’s businesses and one third of its residences will be using broadband wireless within two years.  Further, EMarketer.com projects a 1,500 percent increase in fixed wireless subscribers by year 2003.  The fixed wireless sector is expected to reach $42 billion in revenues within 5 years according to the ARC Group.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4"/>
        <w:numPr>
          <w:ilvl w:val="0"/>
          <w:numId w:val="15"/>
        </w:numPr>
        <w:ind w:hanging="0" w:start="0"/>
        <w:rPr>
          <w:b/>
          <w:i/>
          <w:i/>
          <w:sz w:val="22"/>
        </w:rPr>
      </w:pPr>
      <w:r>
        <w:rPr>
          <w:b/>
          <w:i/>
          <w:sz w:val="22"/>
        </w:rPr>
        <w:t>Management</w:t>
      </w:r>
    </w:p>
    <w:p>
      <w:pPr>
        <w:pStyle w:val="Normal"/>
        <w:jc w:val="both"/>
        <w:rPr>
          <w:b/>
          <w:i/>
          <w:i/>
          <w:sz w:val="22"/>
        </w:rPr>
      </w:pPr>
      <w:r>
        <w:rPr>
          <w:b/>
          <w:i/>
          <w:sz w:val="22"/>
        </w:rPr>
      </w:r>
    </w:p>
    <w:p>
      <w:pPr>
        <w:pStyle w:val="Univ-10"/>
        <w:rPr>
          <w:rFonts w:ascii="Times New Roman" w:hAnsi="Times New Roman" w:cs="Times New Roman"/>
        </w:rPr>
      </w:pPr>
      <w:r>
        <w:rPr>
          <w:rFonts w:cs="Times New Roman" w:ascii="Times New Roman" w:hAnsi="Times New Roman"/>
        </w:rPr>
        <w:t>The seven founders, a proven and diverse entrepreneurial management team, created TeliOn in February 2001.  The following table summarizes the relevant experience of the team:</w:t>
      </w:r>
    </w:p>
    <w:p>
      <w:pPr>
        <w:pStyle w:val="Normal"/>
        <w:rPr>
          <w:rFonts w:ascii="Times New Roman" w:hAnsi="Times New Roman" w:cs="Times New Roman"/>
          <w:sz w:val="22"/>
        </w:rPr>
      </w:pPr>
      <w:r>
        <w:rPr>
          <w:rFonts w:cs="Times New Roman"/>
          <w:sz w:val="22"/>
        </w:rPr>
      </w:r>
    </w:p>
    <w:tbl>
      <w:tblPr>
        <w:tblW w:w="9720" w:type="dxa"/>
        <w:jc w:val="start"/>
        <w:tblInd w:w="30" w:type="dxa"/>
        <w:tblLayout w:type="fixed"/>
        <w:tblCellMar>
          <w:top w:w="0" w:type="dxa"/>
          <w:start w:w="30" w:type="dxa"/>
          <w:bottom w:w="0" w:type="dxa"/>
          <w:end w:w="30" w:type="dxa"/>
        </w:tblCellMar>
      </w:tblPr>
      <w:tblGrid>
        <w:gridCol w:w="3060"/>
        <w:gridCol w:w="450"/>
        <w:gridCol w:w="90"/>
        <w:gridCol w:w="540"/>
        <w:gridCol w:w="180"/>
        <w:gridCol w:w="90"/>
        <w:gridCol w:w="5310"/>
      </w:tblGrid>
      <w:tr>
        <w:trPr>
          <w:trHeight w:val="120" w:hRule="exact"/>
        </w:trPr>
        <w:tc>
          <w:tcPr>
            <w:tcW w:w="3060" w:type="dxa"/>
            <w:tcBorders>
              <w:top w:val="single" w:sz="4" w:space="0" w:color="000000"/>
              <w:start w:val="single" w:sz="4" w:space="0" w:color="000000"/>
            </w:tcBorders>
          </w:tcPr>
          <w:p>
            <w:pPr>
              <w:pStyle w:val="Normal"/>
              <w:snapToGrid w:val="false"/>
              <w:jc w:val="center"/>
              <w:rPr>
                <w:b/>
                <w:color w:val="000000"/>
              </w:rPr>
            </w:pPr>
            <w:r>
              <w:rPr>
                <w:b/>
                <w:color w:val="000000"/>
              </w:rPr>
            </w:r>
          </w:p>
        </w:tc>
        <w:tc>
          <w:tcPr>
            <w:tcW w:w="450" w:type="dxa"/>
            <w:tcBorders>
              <w:top w:val="single" w:sz="4" w:space="0" w:color="000000"/>
            </w:tcBorders>
          </w:tcPr>
          <w:p>
            <w:pPr>
              <w:pStyle w:val="Normal"/>
              <w:snapToGrid w:val="false"/>
              <w:jc w:val="center"/>
              <w:rPr>
                <w:b/>
                <w:color w:val="000000"/>
              </w:rPr>
            </w:pPr>
            <w:r>
              <w:rPr>
                <w:b/>
                <w:color w:val="000000"/>
              </w:rPr>
            </w:r>
          </w:p>
        </w:tc>
        <w:tc>
          <w:tcPr>
            <w:tcW w:w="90" w:type="dxa"/>
            <w:tcBorders>
              <w:top w:val="single" w:sz="4" w:space="0" w:color="000000"/>
            </w:tcBorders>
          </w:tcPr>
          <w:p>
            <w:pPr>
              <w:pStyle w:val="Normal"/>
              <w:snapToGrid w:val="false"/>
              <w:jc w:val="center"/>
              <w:rPr>
                <w:b/>
                <w:color w:val="000000"/>
              </w:rPr>
            </w:pPr>
            <w:r>
              <w:rPr>
                <w:b/>
                <w:color w:val="000000"/>
              </w:rPr>
            </w:r>
          </w:p>
        </w:tc>
        <w:tc>
          <w:tcPr>
            <w:tcW w:w="540" w:type="dxa"/>
            <w:tcBorders>
              <w:top w:val="single" w:sz="4" w:space="0" w:color="000000"/>
            </w:tcBorders>
          </w:tcPr>
          <w:p>
            <w:pPr>
              <w:pStyle w:val="Normal"/>
              <w:snapToGrid w:val="false"/>
              <w:jc w:val="center"/>
              <w:rPr>
                <w:b/>
                <w:color w:val="000000"/>
              </w:rPr>
            </w:pPr>
            <w:r>
              <w:rPr>
                <w:b/>
                <w:color w:val="000000"/>
              </w:rPr>
            </w:r>
          </w:p>
        </w:tc>
        <w:tc>
          <w:tcPr>
            <w:tcW w:w="5580" w:type="dxa"/>
            <w:gridSpan w:val="3"/>
            <w:tcBorders>
              <w:top w:val="single" w:sz="4" w:space="0" w:color="000000"/>
              <w:end w:val="single" w:sz="4" w:space="0" w:color="000000"/>
            </w:tcBorders>
          </w:tcPr>
          <w:p>
            <w:pPr>
              <w:pStyle w:val="Normal"/>
              <w:snapToGrid w:val="false"/>
              <w:jc w:val="center"/>
              <w:rPr>
                <w:b/>
                <w:color w:val="000000"/>
              </w:rPr>
            </w:pPr>
            <w:r>
              <w:rPr>
                <w:b/>
                <w:color w:val="000000"/>
              </w:rPr>
            </w:r>
          </w:p>
        </w:tc>
      </w:tr>
      <w:tr>
        <w:trPr>
          <w:trHeight w:val="490" w:hRule="atLeast"/>
        </w:trPr>
        <w:tc>
          <w:tcPr>
            <w:tcW w:w="3060" w:type="dxa"/>
            <w:tcBorders>
              <w:start w:val="single" w:sz="4" w:space="0" w:color="000000"/>
              <w:bottom w:val="single" w:sz="4" w:space="0" w:color="000000"/>
            </w:tcBorders>
          </w:tcPr>
          <w:p>
            <w:pPr>
              <w:pStyle w:val="Normal"/>
              <w:jc w:val="center"/>
              <w:rPr>
                <w:b/>
                <w:color w:val="000000"/>
              </w:rPr>
            </w:pPr>
            <w:r>
              <w:rPr>
                <w:b/>
                <w:color w:val="000000"/>
              </w:rPr>
              <w:t>Senior Management</w:t>
            </w:r>
          </w:p>
        </w:tc>
        <w:tc>
          <w:tcPr>
            <w:tcW w:w="450" w:type="dxa"/>
            <w:tcBorders>
              <w:bottom w:val="single" w:sz="4" w:space="0" w:color="000000"/>
            </w:tcBorders>
          </w:tcPr>
          <w:p>
            <w:pPr>
              <w:pStyle w:val="Normal"/>
              <w:jc w:val="center"/>
              <w:rPr>
                <w:b/>
                <w:color w:val="000000"/>
              </w:rPr>
            </w:pPr>
            <w:r>
              <w:rPr>
                <w:b/>
                <w:color w:val="000000"/>
              </w:rPr>
              <w:t>Age</w:t>
            </w:r>
          </w:p>
        </w:tc>
        <w:tc>
          <w:tcPr>
            <w:tcW w:w="900" w:type="dxa"/>
            <w:gridSpan w:val="4"/>
            <w:tcBorders>
              <w:bottom w:val="single" w:sz="4" w:space="0" w:color="000000"/>
            </w:tcBorders>
          </w:tcPr>
          <w:p>
            <w:pPr>
              <w:pStyle w:val="Normal"/>
              <w:jc w:val="center"/>
              <w:rPr>
                <w:b/>
                <w:color w:val="000000"/>
              </w:rPr>
            </w:pPr>
            <w:r>
              <w:rPr>
                <w:b/>
                <w:color w:val="000000"/>
              </w:rPr>
              <w:t>Business</w:t>
            </w:r>
          </w:p>
          <w:p>
            <w:pPr>
              <w:pStyle w:val="Normal"/>
              <w:jc w:val="center"/>
              <w:rPr>
                <w:b/>
                <w:color w:val="000000"/>
              </w:rPr>
            </w:pPr>
            <w:r>
              <w:rPr>
                <w:b/>
                <w:color w:val="000000"/>
              </w:rPr>
              <w:t>Years</w:t>
            </w:r>
          </w:p>
        </w:tc>
        <w:tc>
          <w:tcPr>
            <w:tcW w:w="5310" w:type="dxa"/>
            <w:tcBorders>
              <w:bottom w:val="single" w:sz="4" w:space="0" w:color="000000"/>
              <w:end w:val="single" w:sz="4" w:space="0" w:color="000000"/>
            </w:tcBorders>
          </w:tcPr>
          <w:p>
            <w:pPr>
              <w:pStyle w:val="Normal"/>
              <w:rPr>
                <w:b/>
                <w:color w:val="000000"/>
              </w:rPr>
            </w:pPr>
            <w:r>
              <w:rPr>
                <w:b/>
                <w:color w:val="000000"/>
              </w:rPr>
              <w:t xml:space="preserve">                            </w:t>
            </w:r>
            <w:r>
              <w:rPr>
                <w:b/>
                <w:color w:val="000000"/>
              </w:rPr>
              <w:t>Relevant Experience</w:t>
            </w:r>
          </w:p>
        </w:tc>
      </w:tr>
      <w:tr>
        <w:trPr>
          <w:trHeight w:val="1260" w:hRule="atLeast"/>
        </w:trPr>
        <w:tc>
          <w:tcPr>
            <w:tcW w:w="3060" w:type="dxa"/>
            <w:tcBorders>
              <w:start w:val="single" w:sz="4" w:space="0" w:color="000000"/>
            </w:tcBorders>
          </w:tcPr>
          <w:p>
            <w:pPr>
              <w:pStyle w:val="Normal"/>
              <w:rPr>
                <w:color w:val="000000"/>
              </w:rPr>
            </w:pPr>
            <w:r>
              <w:rPr>
                <w:color w:val="000000"/>
              </w:rPr>
              <w:t>Chairman &amp; CEO</w:t>
            </w:r>
          </w:p>
          <w:p>
            <w:pPr>
              <w:pStyle w:val="Normal"/>
              <w:rPr/>
            </w:pPr>
            <w:r>
              <w:rPr>
                <w:color w:val="000000"/>
              </w:rPr>
              <w:t xml:space="preserve">      </w:t>
            </w:r>
            <w:r>
              <w:rPr>
                <w:i/>
                <w:color w:val="000000"/>
              </w:rPr>
              <w:t>Thomas Colligan</w:t>
            </w:r>
          </w:p>
        </w:tc>
        <w:tc>
          <w:tcPr>
            <w:tcW w:w="450" w:type="dxa"/>
            <w:tcBorders/>
          </w:tcPr>
          <w:p>
            <w:pPr>
              <w:pStyle w:val="Normal"/>
              <w:jc w:val="center"/>
              <w:rPr>
                <w:color w:val="000000"/>
              </w:rPr>
            </w:pPr>
            <w:r>
              <w:rPr>
                <w:color w:val="000000"/>
              </w:rPr>
              <w:t>53</w:t>
            </w:r>
          </w:p>
        </w:tc>
        <w:tc>
          <w:tcPr>
            <w:tcW w:w="90" w:type="dxa"/>
            <w:tcBorders/>
          </w:tcPr>
          <w:p>
            <w:pPr>
              <w:pStyle w:val="Normal"/>
              <w:snapToGrid w:val="false"/>
              <w:jc w:val="center"/>
              <w:rPr>
                <w:color w:val="000000"/>
              </w:rPr>
            </w:pPr>
            <w:r>
              <w:rPr>
                <w:color w:val="000000"/>
              </w:rPr>
            </w:r>
          </w:p>
        </w:tc>
        <w:tc>
          <w:tcPr>
            <w:tcW w:w="720" w:type="dxa"/>
            <w:gridSpan w:val="2"/>
            <w:tcBorders/>
          </w:tcPr>
          <w:p>
            <w:pPr>
              <w:pStyle w:val="Normal"/>
              <w:jc w:val="center"/>
              <w:rPr>
                <w:color w:val="000000"/>
              </w:rPr>
            </w:pPr>
            <w:r>
              <w:rPr>
                <w:color w:val="000000"/>
              </w:rPr>
              <w:t>35</w:t>
            </w:r>
          </w:p>
        </w:tc>
        <w:tc>
          <w:tcPr>
            <w:tcW w:w="5400" w:type="dxa"/>
            <w:gridSpan w:val="2"/>
            <w:tcBorders>
              <w:end w:val="single" w:sz="4" w:space="0" w:color="000000"/>
            </w:tcBorders>
          </w:tcPr>
          <w:p>
            <w:pPr>
              <w:pStyle w:val="Normal"/>
              <w:numPr>
                <w:ilvl w:val="0"/>
                <w:numId w:val="4"/>
              </w:numPr>
              <w:rPr>
                <w:color w:val="000000"/>
                <w:sz w:val="18"/>
              </w:rPr>
            </w:pPr>
            <w:r>
              <w:rPr>
                <w:sz w:val="18"/>
              </w:rPr>
              <w:t>Retired from Ascend Communications, sold to Lucent (LU), in 1998 for &gt;$19 billion.  FastComm (FSCX) turnaround.</w:t>
            </w:r>
          </w:p>
          <w:p>
            <w:pPr>
              <w:pStyle w:val="Normal"/>
              <w:numPr>
                <w:ilvl w:val="0"/>
                <w:numId w:val="4"/>
              </w:numPr>
              <w:rPr>
                <w:color w:val="000000"/>
                <w:sz w:val="18"/>
              </w:rPr>
            </w:pPr>
            <w:r>
              <w:rPr>
                <w:color w:val="000000"/>
                <w:sz w:val="18"/>
              </w:rPr>
              <w:t xml:space="preserve">Founder of DataAmerica and ibis.  </w:t>
            </w:r>
          </w:p>
          <w:p>
            <w:pPr>
              <w:pStyle w:val="Normal"/>
              <w:numPr>
                <w:ilvl w:val="0"/>
                <w:numId w:val="4"/>
              </w:numPr>
              <w:rPr>
                <w:color w:val="000000"/>
                <w:sz w:val="18"/>
              </w:rPr>
            </w:pPr>
            <w:r>
              <w:rPr>
                <w:color w:val="000000"/>
                <w:sz w:val="18"/>
              </w:rPr>
              <w:t>Executive with Computer Network Technology (CMNT).</w:t>
            </w:r>
          </w:p>
          <w:p>
            <w:pPr>
              <w:pStyle w:val="Normal"/>
              <w:numPr>
                <w:ilvl w:val="0"/>
                <w:numId w:val="4"/>
              </w:numPr>
              <w:rPr>
                <w:color w:val="000000"/>
                <w:sz w:val="18"/>
              </w:rPr>
            </w:pPr>
            <w:r>
              <w:rPr>
                <w:color w:val="000000"/>
                <w:sz w:val="18"/>
              </w:rPr>
              <w:t xml:space="preserve">3 angel funds; Chair of Richmond Dinner Club; Tech Harvest </w:t>
            </w:r>
          </w:p>
          <w:p>
            <w:pPr>
              <w:pStyle w:val="Normal"/>
              <w:ind w:start="360" w:end="0"/>
              <w:rPr>
                <w:color w:val="000000"/>
                <w:sz w:val="18"/>
              </w:rPr>
            </w:pPr>
            <w:r>
              <w:rPr>
                <w:color w:val="000000"/>
                <w:sz w:val="18"/>
              </w:rPr>
              <w:t xml:space="preserve">        </w:t>
            </w:r>
            <w:r>
              <w:rPr>
                <w:color w:val="000000"/>
                <w:sz w:val="18"/>
              </w:rPr>
              <w:t>Associate, a venture capital holding company.</w:t>
            </w:r>
          </w:p>
          <w:p>
            <w:pPr>
              <w:pStyle w:val="Normal"/>
              <w:numPr>
                <w:ilvl w:val="0"/>
                <w:numId w:val="4"/>
              </w:numPr>
              <w:rPr>
                <w:color w:val="000000"/>
                <w:sz w:val="18"/>
              </w:rPr>
            </w:pPr>
            <w:r>
              <w:rPr>
                <w:color w:val="000000"/>
                <w:sz w:val="18"/>
              </w:rPr>
              <w:t>MBA, University of Maryland</w:t>
            </w:r>
          </w:p>
          <w:p>
            <w:pPr>
              <w:pStyle w:val="Normal"/>
              <w:ind w:start="360" w:end="0"/>
              <w:rPr>
                <w:color w:val="000000"/>
                <w:sz w:val="18"/>
              </w:rPr>
            </w:pPr>
            <w:r>
              <w:rPr>
                <w:color w:val="000000"/>
                <w:sz w:val="18"/>
              </w:rPr>
            </w:r>
          </w:p>
        </w:tc>
      </w:tr>
      <w:tr>
        <w:trPr>
          <w:trHeight w:val="1170" w:hRule="atLeast"/>
        </w:trPr>
        <w:tc>
          <w:tcPr>
            <w:tcW w:w="3060" w:type="dxa"/>
            <w:tcBorders>
              <w:start w:val="single" w:sz="4" w:space="0" w:color="000000"/>
            </w:tcBorders>
          </w:tcPr>
          <w:p>
            <w:pPr>
              <w:pStyle w:val="Normal"/>
              <w:rPr>
                <w:color w:val="000000"/>
              </w:rPr>
            </w:pPr>
            <w:r>
              <w:rPr>
                <w:color w:val="000000"/>
              </w:rPr>
              <w:t>Chief Technology Officer</w:t>
            </w:r>
          </w:p>
          <w:p>
            <w:pPr>
              <w:pStyle w:val="Normal"/>
              <w:rPr/>
            </w:pPr>
            <w:r>
              <w:rPr>
                <w:color w:val="000000"/>
              </w:rPr>
              <w:t xml:space="preserve">      </w:t>
            </w:r>
            <w:r>
              <w:rPr>
                <w:i/>
                <w:color w:val="000000"/>
              </w:rPr>
              <w:t>Michael Adolphi</w:t>
            </w:r>
          </w:p>
        </w:tc>
        <w:tc>
          <w:tcPr>
            <w:tcW w:w="450" w:type="dxa"/>
            <w:tcBorders/>
          </w:tcPr>
          <w:p>
            <w:pPr>
              <w:pStyle w:val="Normal"/>
              <w:jc w:val="center"/>
              <w:rPr>
                <w:color w:val="000000"/>
              </w:rPr>
            </w:pPr>
            <w:r>
              <w:rPr>
                <w:color w:val="000000"/>
              </w:rPr>
              <w:t>42</w:t>
            </w:r>
          </w:p>
        </w:tc>
        <w:tc>
          <w:tcPr>
            <w:tcW w:w="90" w:type="dxa"/>
            <w:tcBorders/>
          </w:tcPr>
          <w:p>
            <w:pPr>
              <w:pStyle w:val="Normal"/>
              <w:snapToGrid w:val="false"/>
              <w:rPr>
                <w:color w:val="000000"/>
              </w:rPr>
            </w:pPr>
            <w:r>
              <w:rPr>
                <w:color w:val="000000"/>
              </w:rPr>
            </w:r>
          </w:p>
        </w:tc>
        <w:tc>
          <w:tcPr>
            <w:tcW w:w="720" w:type="dxa"/>
            <w:gridSpan w:val="2"/>
            <w:tcBorders/>
          </w:tcPr>
          <w:p>
            <w:pPr>
              <w:pStyle w:val="Normal"/>
              <w:jc w:val="center"/>
              <w:rPr>
                <w:color w:val="000000"/>
              </w:rPr>
            </w:pPr>
            <w:r>
              <w:rPr>
                <w:color w:val="000000"/>
              </w:rPr>
              <w:t>17</w:t>
            </w:r>
          </w:p>
        </w:tc>
        <w:tc>
          <w:tcPr>
            <w:tcW w:w="5400" w:type="dxa"/>
            <w:gridSpan w:val="2"/>
            <w:tcBorders>
              <w:end w:val="single" w:sz="4" w:space="0" w:color="000000"/>
            </w:tcBorders>
          </w:tcPr>
          <w:p>
            <w:pPr>
              <w:pStyle w:val="Normal"/>
              <w:numPr>
                <w:ilvl w:val="0"/>
                <w:numId w:val="11"/>
              </w:numPr>
              <w:rPr>
                <w:color w:val="000000"/>
                <w:sz w:val="18"/>
              </w:rPr>
            </w:pPr>
            <w:r>
              <w:rPr>
                <w:color w:val="000000"/>
                <w:sz w:val="18"/>
              </w:rPr>
              <w:t>Founder, Picus Communications, a multi-service level CLEC/ISP</w:t>
            </w:r>
          </w:p>
          <w:p>
            <w:pPr>
              <w:pStyle w:val="Normal"/>
              <w:numPr>
                <w:ilvl w:val="0"/>
                <w:numId w:val="11"/>
              </w:numPr>
              <w:rPr>
                <w:color w:val="000000"/>
                <w:sz w:val="18"/>
              </w:rPr>
            </w:pPr>
            <w:r>
              <w:rPr>
                <w:color w:val="000000"/>
                <w:sz w:val="18"/>
              </w:rPr>
              <w:t>Founder of iTRiBE, an ISP and e-commerce software developer</w:t>
            </w:r>
          </w:p>
          <w:p>
            <w:pPr>
              <w:pStyle w:val="Normal"/>
              <w:numPr>
                <w:ilvl w:val="0"/>
                <w:numId w:val="11"/>
              </w:numPr>
              <w:rPr>
                <w:color w:val="000000"/>
                <w:sz w:val="18"/>
              </w:rPr>
            </w:pPr>
            <w:r>
              <w:rPr>
                <w:color w:val="000000"/>
                <w:sz w:val="18"/>
              </w:rPr>
              <w:t>Co-Founder of PROSOFT, a software developer and network and telecommunications design, installation and maintenance company</w:t>
            </w:r>
          </w:p>
          <w:p>
            <w:pPr>
              <w:pStyle w:val="Normal"/>
              <w:numPr>
                <w:ilvl w:val="0"/>
                <w:numId w:val="11"/>
              </w:numPr>
              <w:rPr>
                <w:color w:val="000000"/>
                <w:sz w:val="18"/>
              </w:rPr>
            </w:pPr>
            <w:r>
              <w:rPr>
                <w:color w:val="000000"/>
                <w:sz w:val="18"/>
              </w:rPr>
              <w:t>BS Electrical Engineering, Virginia Tech</w:t>
            </w:r>
          </w:p>
          <w:p>
            <w:pPr>
              <w:pStyle w:val="Normal"/>
              <w:rPr>
                <w:color w:val="000000"/>
                <w:sz w:val="18"/>
              </w:rPr>
            </w:pPr>
            <w:r>
              <w:rPr>
                <w:color w:val="000000"/>
                <w:sz w:val="18"/>
              </w:rPr>
            </w:r>
          </w:p>
        </w:tc>
      </w:tr>
      <w:tr>
        <w:trPr>
          <w:trHeight w:val="999" w:hRule="atLeast"/>
        </w:trPr>
        <w:tc>
          <w:tcPr>
            <w:tcW w:w="3060" w:type="dxa"/>
            <w:tcBorders>
              <w:start w:val="single" w:sz="4" w:space="0" w:color="000000"/>
            </w:tcBorders>
          </w:tcPr>
          <w:p>
            <w:pPr>
              <w:pStyle w:val="Normal"/>
              <w:rPr>
                <w:color w:val="000000"/>
              </w:rPr>
            </w:pPr>
            <w:r>
              <w:rPr>
                <w:color w:val="000000"/>
              </w:rPr>
              <w:t>Chief Operating Officer</w:t>
            </w:r>
          </w:p>
          <w:p>
            <w:pPr>
              <w:pStyle w:val="Normal"/>
              <w:rPr/>
            </w:pPr>
            <w:r>
              <w:rPr>
                <w:color w:val="000000"/>
              </w:rPr>
              <w:t xml:space="preserve">      </w:t>
            </w:r>
            <w:r>
              <w:rPr>
                <w:i/>
                <w:color w:val="000000"/>
              </w:rPr>
              <w:t>Thomas Flake</w:t>
            </w:r>
          </w:p>
        </w:tc>
        <w:tc>
          <w:tcPr>
            <w:tcW w:w="450" w:type="dxa"/>
            <w:tcBorders/>
          </w:tcPr>
          <w:p>
            <w:pPr>
              <w:pStyle w:val="Normal"/>
              <w:jc w:val="center"/>
              <w:rPr>
                <w:color w:val="000000"/>
              </w:rPr>
            </w:pPr>
            <w:r>
              <w:rPr>
                <w:color w:val="000000"/>
              </w:rPr>
              <w:t>35</w:t>
            </w:r>
          </w:p>
        </w:tc>
        <w:tc>
          <w:tcPr>
            <w:tcW w:w="90" w:type="dxa"/>
            <w:tcBorders/>
          </w:tcPr>
          <w:p>
            <w:pPr>
              <w:pStyle w:val="Normal"/>
              <w:snapToGrid w:val="false"/>
              <w:jc w:val="center"/>
              <w:rPr>
                <w:color w:val="000000"/>
              </w:rPr>
            </w:pPr>
            <w:r>
              <w:rPr>
                <w:color w:val="000000"/>
              </w:rPr>
            </w:r>
          </w:p>
        </w:tc>
        <w:tc>
          <w:tcPr>
            <w:tcW w:w="720" w:type="dxa"/>
            <w:gridSpan w:val="2"/>
            <w:tcBorders/>
          </w:tcPr>
          <w:p>
            <w:pPr>
              <w:pStyle w:val="Normal"/>
              <w:jc w:val="center"/>
              <w:rPr>
                <w:color w:val="000000"/>
              </w:rPr>
            </w:pPr>
            <w:r>
              <w:rPr>
                <w:color w:val="000000"/>
              </w:rPr>
              <w:t>12</w:t>
            </w:r>
          </w:p>
        </w:tc>
        <w:tc>
          <w:tcPr>
            <w:tcW w:w="5400" w:type="dxa"/>
            <w:gridSpan w:val="2"/>
            <w:tcBorders>
              <w:end w:val="single" w:sz="4" w:space="0" w:color="000000"/>
            </w:tcBorders>
          </w:tcPr>
          <w:p>
            <w:pPr>
              <w:pStyle w:val="Normal"/>
              <w:numPr>
                <w:ilvl w:val="0"/>
                <w:numId w:val="9"/>
              </w:numPr>
              <w:rPr>
                <w:color w:val="000000"/>
                <w:sz w:val="18"/>
              </w:rPr>
            </w:pPr>
            <w:r>
              <w:rPr>
                <w:color w:val="000000"/>
                <w:sz w:val="18"/>
              </w:rPr>
              <w:t>Founder, Picus Communications</w:t>
            </w:r>
          </w:p>
          <w:p>
            <w:pPr>
              <w:pStyle w:val="Normal"/>
              <w:numPr>
                <w:ilvl w:val="0"/>
                <w:numId w:val="9"/>
              </w:numPr>
              <w:rPr>
                <w:color w:val="000000"/>
                <w:sz w:val="18"/>
              </w:rPr>
            </w:pPr>
            <w:r>
              <w:rPr>
                <w:color w:val="000000"/>
                <w:sz w:val="18"/>
              </w:rPr>
              <w:t xml:space="preserve">Founder/President of Synergy Consultants, a national Internet    consulting and corporate help-desk outsourcing firm for ISPs </w:t>
            </w:r>
          </w:p>
          <w:p>
            <w:pPr>
              <w:pStyle w:val="Normal"/>
              <w:numPr>
                <w:ilvl w:val="0"/>
                <w:numId w:val="9"/>
              </w:numPr>
              <w:rPr>
                <w:color w:val="000000"/>
                <w:sz w:val="18"/>
              </w:rPr>
            </w:pPr>
            <w:r>
              <w:rPr>
                <w:color w:val="000000"/>
                <w:sz w:val="18"/>
              </w:rPr>
              <w:t xml:space="preserve">U.S. Naval Nuclear Power School </w:t>
            </w:r>
          </w:p>
          <w:p>
            <w:pPr>
              <w:pStyle w:val="Normal"/>
              <w:rPr>
                <w:color w:val="000000"/>
                <w:sz w:val="18"/>
              </w:rPr>
            </w:pPr>
            <w:r>
              <w:rPr>
                <w:color w:val="000000"/>
                <w:sz w:val="18"/>
              </w:rPr>
            </w:r>
          </w:p>
        </w:tc>
      </w:tr>
      <w:tr>
        <w:trPr>
          <w:trHeight w:val="461" w:hRule="atLeast"/>
        </w:trPr>
        <w:tc>
          <w:tcPr>
            <w:tcW w:w="3060" w:type="dxa"/>
            <w:tcBorders>
              <w:start w:val="single" w:sz="4" w:space="0" w:color="000000"/>
            </w:tcBorders>
          </w:tcPr>
          <w:p>
            <w:pPr>
              <w:pStyle w:val="Normal"/>
              <w:rPr>
                <w:color w:val="000000"/>
              </w:rPr>
            </w:pPr>
            <w:r>
              <w:rPr>
                <w:color w:val="000000"/>
              </w:rPr>
              <w:t>Director External Affairs &amp; Strategy</w:t>
            </w:r>
          </w:p>
          <w:p>
            <w:pPr>
              <w:pStyle w:val="Normal"/>
              <w:rPr/>
            </w:pPr>
            <w:r>
              <w:rPr>
                <w:color w:val="000000"/>
              </w:rPr>
              <w:t xml:space="preserve">      </w:t>
            </w:r>
            <w:r>
              <w:rPr>
                <w:i/>
                <w:color w:val="000000"/>
              </w:rPr>
              <w:t xml:space="preserve">Robert Colorina </w:t>
            </w:r>
          </w:p>
          <w:p>
            <w:pPr>
              <w:pStyle w:val="Normal"/>
              <w:rPr>
                <w:i/>
                <w:i/>
                <w:color w:val="000000"/>
              </w:rPr>
            </w:pPr>
            <w:r>
              <w:rPr>
                <w:i/>
                <w:color w:val="000000"/>
              </w:rPr>
            </w:r>
          </w:p>
        </w:tc>
        <w:tc>
          <w:tcPr>
            <w:tcW w:w="450" w:type="dxa"/>
            <w:tcBorders/>
          </w:tcPr>
          <w:p>
            <w:pPr>
              <w:pStyle w:val="Normal"/>
              <w:jc w:val="center"/>
              <w:rPr>
                <w:color w:val="000000"/>
              </w:rPr>
            </w:pPr>
            <w:r>
              <w:rPr>
                <w:color w:val="000000"/>
              </w:rPr>
              <w:t>32</w:t>
            </w:r>
          </w:p>
        </w:tc>
        <w:tc>
          <w:tcPr>
            <w:tcW w:w="90" w:type="dxa"/>
            <w:tcBorders/>
          </w:tcPr>
          <w:p>
            <w:pPr>
              <w:pStyle w:val="Normal"/>
              <w:snapToGrid w:val="false"/>
              <w:jc w:val="center"/>
              <w:rPr>
                <w:color w:val="000000"/>
              </w:rPr>
            </w:pPr>
            <w:r>
              <w:rPr>
                <w:color w:val="000000"/>
              </w:rPr>
            </w:r>
          </w:p>
        </w:tc>
        <w:tc>
          <w:tcPr>
            <w:tcW w:w="720" w:type="dxa"/>
            <w:gridSpan w:val="2"/>
            <w:tcBorders/>
          </w:tcPr>
          <w:p>
            <w:pPr>
              <w:pStyle w:val="Normal"/>
              <w:jc w:val="center"/>
              <w:rPr>
                <w:color w:val="000000"/>
              </w:rPr>
            </w:pPr>
            <w:r>
              <w:rPr>
                <w:color w:val="000000"/>
              </w:rPr>
              <w:t xml:space="preserve">11       </w:t>
            </w:r>
          </w:p>
        </w:tc>
        <w:tc>
          <w:tcPr>
            <w:tcW w:w="5400" w:type="dxa"/>
            <w:gridSpan w:val="2"/>
            <w:tcBorders>
              <w:end w:val="single" w:sz="4" w:space="0" w:color="000000"/>
            </w:tcBorders>
          </w:tcPr>
          <w:p>
            <w:pPr>
              <w:pStyle w:val="Normal"/>
              <w:numPr>
                <w:ilvl w:val="0"/>
                <w:numId w:val="12"/>
              </w:numPr>
              <w:rPr>
                <w:color w:val="000000"/>
                <w:sz w:val="18"/>
              </w:rPr>
            </w:pPr>
            <w:r>
              <w:rPr>
                <w:color w:val="000000"/>
                <w:sz w:val="18"/>
              </w:rPr>
              <w:t>Senior Advisor, Keppel IVI Investments (Singapore); Investment Banking officer NCNB/NationsBank (now Bank of America); also with Gulf &amp; Western Corp.; Alliance Bioremediation (CA); Sun Microsystems</w:t>
            </w:r>
          </w:p>
          <w:p>
            <w:pPr>
              <w:pStyle w:val="Normal"/>
              <w:numPr>
                <w:ilvl w:val="0"/>
                <w:numId w:val="12"/>
              </w:numPr>
              <w:rPr>
                <w:color w:val="000000"/>
                <w:sz w:val="18"/>
              </w:rPr>
            </w:pPr>
            <w:r>
              <w:rPr>
                <w:color w:val="000000"/>
                <w:sz w:val="18"/>
              </w:rPr>
              <w:t>BS Commerce, University of Virginia</w:t>
            </w:r>
          </w:p>
          <w:p>
            <w:pPr>
              <w:pStyle w:val="Normal"/>
              <w:rPr>
                <w:color w:val="000000"/>
                <w:sz w:val="18"/>
              </w:rPr>
            </w:pPr>
            <w:r>
              <w:rPr>
                <w:color w:val="000000"/>
                <w:sz w:val="18"/>
              </w:rPr>
            </w:r>
          </w:p>
        </w:tc>
      </w:tr>
      <w:tr>
        <w:trPr>
          <w:trHeight w:val="734" w:hRule="atLeast"/>
        </w:trPr>
        <w:tc>
          <w:tcPr>
            <w:tcW w:w="3060" w:type="dxa"/>
            <w:tcBorders>
              <w:start w:val="single" w:sz="4" w:space="0" w:color="000000"/>
            </w:tcBorders>
          </w:tcPr>
          <w:p>
            <w:pPr>
              <w:pStyle w:val="Normal"/>
              <w:rPr>
                <w:color w:val="000000"/>
              </w:rPr>
            </w:pPr>
            <w:r>
              <w:rPr>
                <w:color w:val="000000"/>
              </w:rPr>
              <w:t>Controller &amp; Finance</w:t>
            </w:r>
          </w:p>
          <w:p>
            <w:pPr>
              <w:pStyle w:val="Normal"/>
              <w:rPr>
                <w:i/>
                <w:i/>
                <w:color w:val="000000"/>
              </w:rPr>
            </w:pPr>
            <w:r>
              <w:rPr>
                <w:i/>
                <w:color w:val="000000"/>
              </w:rPr>
              <w:t xml:space="preserve">     </w:t>
            </w:r>
            <w:r>
              <w:rPr>
                <w:i/>
                <w:color w:val="000000"/>
              </w:rPr>
              <w:t>Jonathan Tunner</w:t>
            </w:r>
          </w:p>
        </w:tc>
        <w:tc>
          <w:tcPr>
            <w:tcW w:w="450" w:type="dxa"/>
            <w:tcBorders/>
          </w:tcPr>
          <w:p>
            <w:pPr>
              <w:pStyle w:val="Normal"/>
              <w:jc w:val="center"/>
              <w:rPr>
                <w:color w:val="000000"/>
              </w:rPr>
            </w:pPr>
            <w:r>
              <w:rPr>
                <w:color w:val="000000"/>
              </w:rPr>
              <w:t>29</w:t>
            </w:r>
          </w:p>
        </w:tc>
        <w:tc>
          <w:tcPr>
            <w:tcW w:w="90" w:type="dxa"/>
            <w:tcBorders/>
          </w:tcPr>
          <w:p>
            <w:pPr>
              <w:pStyle w:val="Normal"/>
              <w:snapToGrid w:val="false"/>
              <w:jc w:val="center"/>
              <w:rPr>
                <w:color w:val="000000"/>
              </w:rPr>
            </w:pPr>
            <w:r>
              <w:rPr>
                <w:color w:val="000000"/>
              </w:rPr>
            </w:r>
          </w:p>
        </w:tc>
        <w:tc>
          <w:tcPr>
            <w:tcW w:w="720" w:type="dxa"/>
            <w:gridSpan w:val="2"/>
            <w:tcBorders/>
          </w:tcPr>
          <w:p>
            <w:pPr>
              <w:pStyle w:val="Normal"/>
              <w:jc w:val="center"/>
              <w:rPr>
                <w:color w:val="000000"/>
              </w:rPr>
            </w:pPr>
            <w:r>
              <w:rPr>
                <w:color w:val="000000"/>
              </w:rPr>
              <w:t>6</w:t>
            </w:r>
          </w:p>
        </w:tc>
        <w:tc>
          <w:tcPr>
            <w:tcW w:w="5400" w:type="dxa"/>
            <w:gridSpan w:val="2"/>
            <w:tcBorders>
              <w:end w:val="single" w:sz="4" w:space="0" w:color="000000"/>
            </w:tcBorders>
          </w:tcPr>
          <w:p>
            <w:pPr>
              <w:pStyle w:val="Normal"/>
              <w:numPr>
                <w:ilvl w:val="0"/>
                <w:numId w:val="14"/>
              </w:numPr>
              <w:rPr>
                <w:color w:val="000000"/>
                <w:sz w:val="18"/>
              </w:rPr>
            </w:pPr>
            <w:r>
              <w:rPr>
                <w:color w:val="000000"/>
                <w:sz w:val="18"/>
              </w:rPr>
              <w:t>Tucker Anthony/Branch Cabell associate; finance manager with Guasare Coal and PdVSA (Europe and Venezuela); angel experience review and due diligence</w:t>
            </w:r>
          </w:p>
          <w:p>
            <w:pPr>
              <w:pStyle w:val="Normal"/>
              <w:numPr>
                <w:ilvl w:val="0"/>
                <w:numId w:val="14"/>
              </w:numPr>
              <w:rPr>
                <w:color w:val="000000"/>
                <w:sz w:val="18"/>
              </w:rPr>
            </w:pPr>
            <w:r>
              <w:rPr>
                <w:color w:val="000000"/>
                <w:sz w:val="18"/>
              </w:rPr>
              <w:t>MBA, University of Richmond</w:t>
            </w:r>
          </w:p>
          <w:p>
            <w:pPr>
              <w:pStyle w:val="Normal"/>
              <w:ind w:start="330" w:end="0"/>
              <w:rPr>
                <w:color w:val="000000"/>
                <w:sz w:val="18"/>
              </w:rPr>
            </w:pPr>
            <w:r>
              <w:rPr>
                <w:color w:val="000000"/>
                <w:sz w:val="18"/>
              </w:rPr>
            </w:r>
          </w:p>
        </w:tc>
      </w:tr>
      <w:tr>
        <w:trPr>
          <w:trHeight w:val="734" w:hRule="atLeast"/>
        </w:trPr>
        <w:tc>
          <w:tcPr>
            <w:tcW w:w="3060" w:type="dxa"/>
            <w:tcBorders>
              <w:start w:val="single" w:sz="4" w:space="0" w:color="000000"/>
            </w:tcBorders>
          </w:tcPr>
          <w:p>
            <w:pPr>
              <w:pStyle w:val="Normal"/>
              <w:rPr>
                <w:color w:val="000000"/>
              </w:rPr>
            </w:pPr>
            <w:r>
              <w:rPr>
                <w:color w:val="000000"/>
              </w:rPr>
              <w:t>VP Network Operations</w:t>
            </w:r>
          </w:p>
          <w:p>
            <w:pPr>
              <w:pStyle w:val="Normal"/>
              <w:rPr/>
            </w:pPr>
            <w:r>
              <w:rPr>
                <w:color w:val="000000"/>
              </w:rPr>
              <w:t xml:space="preserve">      </w:t>
            </w:r>
            <w:r>
              <w:rPr>
                <w:i/>
                <w:color w:val="000000"/>
              </w:rPr>
              <w:t>Robert Sabine, Jr.</w:t>
            </w:r>
          </w:p>
        </w:tc>
        <w:tc>
          <w:tcPr>
            <w:tcW w:w="450" w:type="dxa"/>
            <w:tcBorders/>
          </w:tcPr>
          <w:p>
            <w:pPr>
              <w:pStyle w:val="Normal"/>
              <w:jc w:val="center"/>
              <w:rPr>
                <w:color w:val="000000"/>
              </w:rPr>
            </w:pPr>
            <w:r>
              <w:rPr>
                <w:color w:val="000000"/>
              </w:rPr>
              <w:t>39</w:t>
            </w:r>
          </w:p>
        </w:tc>
        <w:tc>
          <w:tcPr>
            <w:tcW w:w="90" w:type="dxa"/>
            <w:tcBorders/>
          </w:tcPr>
          <w:p>
            <w:pPr>
              <w:pStyle w:val="Normal"/>
              <w:snapToGrid w:val="false"/>
              <w:jc w:val="center"/>
              <w:rPr>
                <w:color w:val="000000"/>
              </w:rPr>
            </w:pPr>
            <w:r>
              <w:rPr>
                <w:color w:val="000000"/>
              </w:rPr>
            </w:r>
          </w:p>
        </w:tc>
        <w:tc>
          <w:tcPr>
            <w:tcW w:w="720" w:type="dxa"/>
            <w:gridSpan w:val="2"/>
            <w:tcBorders/>
          </w:tcPr>
          <w:p>
            <w:pPr>
              <w:pStyle w:val="Normal"/>
              <w:jc w:val="center"/>
              <w:rPr>
                <w:color w:val="000000"/>
              </w:rPr>
            </w:pPr>
            <w:r>
              <w:rPr>
                <w:color w:val="000000"/>
              </w:rPr>
              <w:t>20</w:t>
            </w:r>
          </w:p>
        </w:tc>
        <w:tc>
          <w:tcPr>
            <w:tcW w:w="5400" w:type="dxa"/>
            <w:gridSpan w:val="2"/>
            <w:tcBorders>
              <w:end w:val="single" w:sz="4" w:space="0" w:color="000000"/>
            </w:tcBorders>
          </w:tcPr>
          <w:p>
            <w:pPr>
              <w:pStyle w:val="Normal"/>
              <w:numPr>
                <w:ilvl w:val="0"/>
                <w:numId w:val="10"/>
              </w:numPr>
              <w:rPr>
                <w:color w:val="000000"/>
                <w:sz w:val="18"/>
              </w:rPr>
            </w:pPr>
            <w:r>
              <w:rPr>
                <w:color w:val="000000"/>
                <w:sz w:val="18"/>
              </w:rPr>
              <w:t>VP Network Operations, Picus Communications</w:t>
            </w:r>
          </w:p>
          <w:p>
            <w:pPr>
              <w:pStyle w:val="Normal"/>
              <w:numPr>
                <w:ilvl w:val="0"/>
                <w:numId w:val="10"/>
              </w:numPr>
              <w:rPr>
                <w:color w:val="000000"/>
                <w:sz w:val="18"/>
              </w:rPr>
            </w:pPr>
            <w:r>
              <w:rPr>
                <w:color w:val="000000"/>
                <w:sz w:val="18"/>
              </w:rPr>
              <w:t>VP of MIS and network management:  Universal Network Services, Inc. Business Choice Network, Inc., Eastern Telecom Corporation, and TeleFiberNet Corporation, Inc. (now WorldCom)</w:t>
            </w:r>
          </w:p>
          <w:p>
            <w:pPr>
              <w:pStyle w:val="Normal"/>
              <w:numPr>
                <w:ilvl w:val="0"/>
                <w:numId w:val="10"/>
              </w:numPr>
              <w:rPr>
                <w:color w:val="000000"/>
                <w:sz w:val="18"/>
              </w:rPr>
            </w:pPr>
            <w:r>
              <w:rPr>
                <w:color w:val="000000"/>
                <w:sz w:val="18"/>
              </w:rPr>
              <w:t>BS, James Madison University</w:t>
            </w:r>
          </w:p>
          <w:p>
            <w:pPr>
              <w:pStyle w:val="Normal"/>
              <w:rPr>
                <w:color w:val="000000"/>
                <w:sz w:val="18"/>
              </w:rPr>
            </w:pPr>
            <w:r>
              <w:rPr>
                <w:color w:val="000000"/>
                <w:sz w:val="18"/>
              </w:rPr>
            </w:r>
          </w:p>
        </w:tc>
      </w:tr>
      <w:tr>
        <w:trPr>
          <w:trHeight w:val="734" w:hRule="atLeast"/>
        </w:trPr>
        <w:tc>
          <w:tcPr>
            <w:tcW w:w="3060" w:type="dxa"/>
            <w:tcBorders>
              <w:start w:val="single" w:sz="4" w:space="0" w:color="000000"/>
              <w:bottom w:val="single" w:sz="4" w:space="0" w:color="000000"/>
            </w:tcBorders>
          </w:tcPr>
          <w:p>
            <w:pPr>
              <w:pStyle w:val="Normal"/>
              <w:rPr>
                <w:color w:val="000000"/>
              </w:rPr>
            </w:pPr>
            <w:r>
              <w:rPr>
                <w:color w:val="000000"/>
              </w:rPr>
              <w:t>VP Marketing</w:t>
            </w:r>
          </w:p>
          <w:p>
            <w:pPr>
              <w:pStyle w:val="Normal"/>
              <w:rPr/>
            </w:pPr>
            <w:r>
              <w:rPr>
                <w:color w:val="000000"/>
              </w:rPr>
              <w:t xml:space="preserve">      </w:t>
            </w:r>
            <w:r>
              <w:rPr>
                <w:i/>
                <w:color w:val="000000"/>
              </w:rPr>
              <w:t xml:space="preserve">Robert Wohlfarth </w:t>
            </w:r>
          </w:p>
        </w:tc>
        <w:tc>
          <w:tcPr>
            <w:tcW w:w="450" w:type="dxa"/>
            <w:tcBorders>
              <w:bottom w:val="single" w:sz="4" w:space="0" w:color="000000"/>
            </w:tcBorders>
          </w:tcPr>
          <w:p>
            <w:pPr>
              <w:pStyle w:val="Normal"/>
              <w:jc w:val="center"/>
              <w:rPr>
                <w:color w:val="000000"/>
              </w:rPr>
            </w:pPr>
            <w:r>
              <w:rPr>
                <w:color w:val="000000"/>
              </w:rPr>
              <w:t>41</w:t>
            </w:r>
          </w:p>
        </w:tc>
        <w:tc>
          <w:tcPr>
            <w:tcW w:w="90" w:type="dxa"/>
            <w:tcBorders>
              <w:bottom w:val="single" w:sz="4" w:space="0" w:color="000000"/>
            </w:tcBorders>
          </w:tcPr>
          <w:p>
            <w:pPr>
              <w:pStyle w:val="Normal"/>
              <w:snapToGrid w:val="false"/>
              <w:jc w:val="center"/>
              <w:rPr>
                <w:color w:val="000000"/>
              </w:rPr>
            </w:pPr>
            <w:r>
              <w:rPr>
                <w:color w:val="000000"/>
              </w:rPr>
            </w:r>
          </w:p>
        </w:tc>
        <w:tc>
          <w:tcPr>
            <w:tcW w:w="720" w:type="dxa"/>
            <w:gridSpan w:val="2"/>
            <w:tcBorders>
              <w:bottom w:val="single" w:sz="4" w:space="0" w:color="000000"/>
            </w:tcBorders>
          </w:tcPr>
          <w:p>
            <w:pPr>
              <w:pStyle w:val="Normal"/>
              <w:jc w:val="center"/>
              <w:rPr>
                <w:color w:val="000000"/>
              </w:rPr>
            </w:pPr>
            <w:r>
              <w:rPr>
                <w:color w:val="000000"/>
              </w:rPr>
              <w:t>20</w:t>
            </w:r>
          </w:p>
        </w:tc>
        <w:tc>
          <w:tcPr>
            <w:tcW w:w="5400" w:type="dxa"/>
            <w:gridSpan w:val="2"/>
            <w:tcBorders>
              <w:bottom w:val="single" w:sz="4" w:space="0" w:color="000000"/>
              <w:end w:val="single" w:sz="4" w:space="0" w:color="000000"/>
            </w:tcBorders>
          </w:tcPr>
          <w:p>
            <w:pPr>
              <w:pStyle w:val="Normal"/>
              <w:numPr>
                <w:ilvl w:val="0"/>
                <w:numId w:val="13"/>
              </w:numPr>
              <w:rPr>
                <w:color w:val="000000"/>
                <w:sz w:val="18"/>
              </w:rPr>
            </w:pPr>
            <w:r>
              <w:rPr>
                <w:color w:val="000000"/>
                <w:sz w:val="18"/>
              </w:rPr>
              <w:t xml:space="preserve">General Manager of Hampton Roads, Adelphia Business          Solutions, Inc. (ABIZ); Sales and Marketing with MCI (now WorldCom); Board Hampton Roads Chamber of Commerce  </w:t>
            </w:r>
          </w:p>
          <w:p>
            <w:pPr>
              <w:pStyle w:val="Normal"/>
              <w:numPr>
                <w:ilvl w:val="0"/>
                <w:numId w:val="13"/>
              </w:numPr>
              <w:rPr>
                <w:color w:val="000000"/>
                <w:sz w:val="18"/>
              </w:rPr>
            </w:pPr>
            <w:r>
              <w:rPr>
                <w:color w:val="000000"/>
                <w:sz w:val="18"/>
              </w:rPr>
              <w:t>BS MIS, Robert Morris College</w:t>
            </w:r>
          </w:p>
        </w:tc>
      </w:tr>
    </w:tbl>
    <w:p>
      <w:pPr>
        <w:pStyle w:val="Normal"/>
        <w:jc w:val="both"/>
        <w:rPr>
          <w:sz w:val="22"/>
        </w:rPr>
      </w:pPr>
      <w:r>
        <w:rPr>
          <w:sz w:val="22"/>
        </w:rPr>
      </w:r>
    </w:p>
    <w:p>
      <w:pPr>
        <w:pStyle w:val="BodyText"/>
        <w:rPr>
          <w:sz w:val="20"/>
        </w:rPr>
      </w:pPr>
      <w:r>
        <w:rPr>
          <w:sz w:val="20"/>
        </w:rPr>
        <w:t>In all areas of professional service and strategic partnership, the Company believes that the caliber of such partners enhances management’s expected results.  LeClair Ryan PC and Williams Mullen Clark &amp; Dobbins have been retained to serve as TeliOn’s formation, corporate and securities legal counsel. KPMG has been engaged to serve as the Company's auditor. The Company has selected Tachion Networks, a vendor of next generation switch equipment, to provide their “collapsed central office” and new second generation features for 4Q01.</w:t>
      </w:r>
    </w:p>
    <w:p>
      <w:pPr>
        <w:pStyle w:val="Normal"/>
        <w:jc w:val="both"/>
        <w:rPr>
          <w:sz w:val="22"/>
        </w:rPr>
      </w:pPr>
      <w:r>
        <w:rPr>
          <w:sz w:val="22"/>
        </w:rPr>
      </w:r>
    </w:p>
    <w:p>
      <w:pPr>
        <w:pStyle w:val="Normal"/>
        <w:jc w:val="both"/>
        <w:rPr>
          <w:sz w:val="22"/>
        </w:rPr>
      </w:pPr>
      <w:r>
        <w:rPr>
          <w:sz w:val="22"/>
        </w:rPr>
      </w:r>
    </w:p>
    <w:p>
      <w:pPr>
        <w:pStyle w:val="Heading4"/>
        <w:numPr>
          <w:ilvl w:val="0"/>
          <w:numId w:val="15"/>
        </w:numPr>
        <w:ind w:hanging="0" w:start="0"/>
        <w:jc w:val="both"/>
        <w:rPr>
          <w:b/>
          <w:i/>
          <w:i/>
          <w:sz w:val="22"/>
        </w:rPr>
      </w:pPr>
      <w:r>
        <w:rPr>
          <w:b/>
          <w:i/>
          <w:sz w:val="22"/>
        </w:rPr>
        <w:t>Network Components</w:t>
      </w:r>
    </w:p>
    <w:p>
      <w:pPr>
        <w:pStyle w:val="Univ-10"/>
        <w:rPr>
          <w:rFonts w:ascii="Times New Roman" w:hAnsi="Times New Roman" w:cs="Times New Roman"/>
          <w:b/>
          <w:i/>
          <w:i/>
          <w:sz w:val="22"/>
        </w:rPr>
      </w:pPr>
      <w:r>
        <w:rPr>
          <w:rFonts w:cs="Times New Roman" w:ascii="Times New Roman" w:hAnsi="Times New Roman"/>
          <w:b/>
          <w:i/>
          <w:sz w:val="22"/>
        </w:rPr>
      </w:r>
    </w:p>
    <w:p>
      <w:pPr>
        <w:pStyle w:val="Normal"/>
        <w:jc w:val="both"/>
        <w:rPr/>
      </w:pPr>
      <w:r>
        <w:rPr/>
        <w:t xml:space="preserve">TeliOn plans to equip 24 towers within its first 36 months to facilitate adequate coverage to antennas located within the densest business population areas. TeliOn will utilize leased tower space to serve as centralized distribution nodes for the wireless network.  Management will speed time to market and reduce startup costs by partnering with companies like American Tower, Inc.  </w:t>
      </w:r>
    </w:p>
    <w:p>
      <w:pPr>
        <w:pStyle w:val="Normal"/>
        <w:jc w:val="both"/>
        <w:rPr/>
      </w:pPr>
      <w:r>
        <w:rPr/>
      </w:r>
    </w:p>
    <w:p>
      <w:pPr>
        <w:pStyle w:val="Normal"/>
        <w:jc w:val="both"/>
        <w:rPr/>
      </w:pPr>
      <w:r>
        <w:rPr/>
        <w:t>Utilizing available technology as a basis for our model, management assumes that each tower will serve a 4.5-mile radius.  This equates to over 60 square miles each.  We expect that improved, second generation equipment will become available later this year that will improve coverage areas.</w:t>
      </w:r>
    </w:p>
    <w:p>
      <w:pPr>
        <w:pStyle w:val="Normal"/>
        <w:jc w:val="both"/>
        <w:rPr/>
      </w:pPr>
      <w:r>
        <w:rPr/>
      </w:r>
    </w:p>
    <w:p>
      <w:pPr>
        <w:pStyle w:val="Normal"/>
        <w:jc w:val="both"/>
        <w:rPr/>
      </w:pPr>
      <w:r>
        <w:rPr/>
        <w:t>Each tower site will be interconnected to a switching center via wireless packet-based backbone and switching facility. The facility includes the switching equipment from Tachion Networks to process voice calls. The data traffic will be offloaded to a subscriber management system and then out to the underlying Internet service provider.</w:t>
      </w:r>
    </w:p>
    <w:p>
      <w:pPr>
        <w:pStyle w:val="Normal"/>
        <w:rPr>
          <w:sz w:val="22"/>
        </w:rPr>
      </w:pPr>
      <w:r>
        <w:rPr>
          <w:sz w:val="22"/>
        </w:rPr>
      </w:r>
    </w:p>
    <w:p>
      <w:pPr>
        <w:pStyle w:val="Heading4"/>
        <w:numPr>
          <w:ilvl w:val="0"/>
          <w:numId w:val="15"/>
        </w:numPr>
        <w:ind w:hanging="0" w:start="0"/>
        <w:rPr>
          <w:b/>
          <w:i/>
          <w:i/>
          <w:sz w:val="22"/>
        </w:rPr>
      </w:pPr>
      <w:r>
        <w:rPr>
          <w:b/>
          <w:i/>
          <w:sz w:val="22"/>
        </w:rPr>
        <w:t>Sales and Marketing</w:t>
      </w:r>
    </w:p>
    <w:p>
      <w:pPr>
        <w:pStyle w:val="Normal"/>
        <w:jc w:val="both"/>
        <w:rPr>
          <w:b/>
          <w:i/>
          <w:i/>
          <w:sz w:val="22"/>
        </w:rPr>
      </w:pPr>
      <w:r>
        <w:rPr>
          <w:b/>
          <w:i/>
          <w:sz w:val="22"/>
        </w:rPr>
      </w:r>
    </w:p>
    <w:p>
      <w:pPr>
        <w:pStyle w:val="Univ-10"/>
        <w:rPr>
          <w:rFonts w:ascii="Times New Roman" w:hAnsi="Times New Roman" w:cs="Times New Roman"/>
        </w:rPr>
      </w:pPr>
      <w:r>
        <w:rPr>
          <w:rFonts w:cs="Times New Roman" w:ascii="Times New Roman" w:hAnsi="Times New Roman"/>
        </w:rPr>
        <w:t>TeliOn plans to build a sales force of 25 people in the three markets over two years. Direct sales personnel are expected to average 10 new sales per month with average revenue of $550 per client.  Thus, in every 12-month period, each sales person is expected to generate an incremental $429,000 each. *  This average revenue includes local, long distance, high-speed data and other bundled components. From recent experience and research, the typical business customer will have 1.5Mb/s data connection (100%), 5.6 DS-0s (95%), 328 long distance minutes per month (90%), and enhanced services; i.e., unified messaging (35%).</w:t>
      </w:r>
    </w:p>
    <w:p>
      <w:pPr>
        <w:pStyle w:val="Normal"/>
        <w:rPr>
          <w:rFonts w:ascii="Times New Roman" w:hAnsi="Times New Roman" w:cs="Times New Roman"/>
          <w:sz w:val="22"/>
        </w:rPr>
      </w:pPr>
      <w:r>
        <w:rPr>
          <w:rFonts w:cs="Times New Roman"/>
          <w:sz w:val="22"/>
        </w:rPr>
      </w:r>
    </w:p>
    <w:p>
      <w:pPr>
        <w:pStyle w:val="Heading4"/>
        <w:numPr>
          <w:ilvl w:val="0"/>
          <w:numId w:val="15"/>
        </w:numPr>
        <w:ind w:hanging="0" w:start="0"/>
        <w:rPr>
          <w:b/>
          <w:i/>
          <w:i/>
          <w:sz w:val="22"/>
        </w:rPr>
      </w:pPr>
      <w:r>
        <w:rPr>
          <w:b/>
          <w:i/>
          <w:sz w:val="22"/>
        </w:rPr>
        <w:t>Pro-forma Financial Summary</w:t>
      </w:r>
    </w:p>
    <w:p>
      <w:pPr>
        <w:pStyle w:val="Normal"/>
        <w:rPr>
          <w:b/>
          <w:i/>
          <w:i/>
          <w:sz w:val="22"/>
        </w:rPr>
      </w:pPr>
      <w:r>
        <w:rPr>
          <w:b/>
          <w:i/>
          <w:sz w:val="22"/>
        </w:rPr>
      </w:r>
    </w:p>
    <w:p>
      <w:pPr>
        <w:pStyle w:val="Normal"/>
        <w:tabs>
          <w:tab w:val="clear" w:pos="720"/>
          <w:tab w:val="left" w:pos="0" w:leader="none"/>
        </w:tabs>
        <w:rPr/>
      </w:pPr>
      <w:r>
        <w:rPr/>
        <w:t xml:space="preserve">The following is a financial projection summary (all financial data is in millions of dollars US).  Detailed pro-forma financial statements are separately presented. </w:t>
      </w:r>
    </w:p>
    <w:p>
      <w:pPr>
        <w:pStyle w:val="Normal"/>
        <w:tabs>
          <w:tab w:val="clear" w:pos="720"/>
          <w:tab w:val="left" w:pos="0" w:leader="none"/>
        </w:tabs>
        <w:rPr>
          <w:b/>
        </w:rPr>
      </w:pPr>
      <w:r>
        <w:rPr>
          <w:b/>
        </w:rPr>
      </w:r>
    </w:p>
    <w:tbl>
      <w:tblPr>
        <w:tblW w:w="9092" w:type="dxa"/>
        <w:jc w:val="start"/>
        <w:tblInd w:w="198" w:type="dxa"/>
        <w:tblLayout w:type="fixed"/>
        <w:tblCellMar>
          <w:top w:w="0" w:type="dxa"/>
          <w:start w:w="108" w:type="dxa"/>
          <w:bottom w:w="0" w:type="dxa"/>
          <w:end w:w="108" w:type="dxa"/>
        </w:tblCellMar>
      </w:tblPr>
      <w:tblGrid>
        <w:gridCol w:w="2628"/>
        <w:gridCol w:w="1292"/>
        <w:gridCol w:w="1293"/>
        <w:gridCol w:w="1293"/>
        <w:gridCol w:w="1293"/>
        <w:gridCol w:w="1293"/>
      </w:tblGrid>
      <w:tr>
        <w:trPr/>
        <w:tc>
          <w:tcPr>
            <w:tcW w:w="2628" w:type="dxa"/>
            <w:tcBorders>
              <w:top w:val="single" w:sz="4" w:space="0" w:color="000000"/>
              <w:start w:val="single" w:sz="4" w:space="0" w:color="000000"/>
              <w:bottom w:val="single" w:sz="4" w:space="0" w:color="000000"/>
              <w:end w:val="single" w:sz="4" w:space="0" w:color="000000"/>
            </w:tcBorders>
          </w:tcPr>
          <w:p>
            <w:pPr>
              <w:pStyle w:val="Heading6"/>
              <w:tabs>
                <w:tab w:val="clear" w:pos="720"/>
                <w:tab w:val="left" w:pos="0" w:leader="none"/>
              </w:tabs>
              <w:ind w:hanging="0" w:start="0"/>
              <w:rPr>
                <w:sz w:val="22"/>
              </w:rPr>
            </w:pPr>
            <w:r>
              <w:rPr>
                <w:sz w:val="22"/>
              </w:rPr>
              <w:t>Year</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sz w:val="22"/>
              </w:rPr>
            </w:pPr>
            <w:r>
              <w:rPr>
                <w:b/>
                <w:sz w:val="22"/>
              </w:rPr>
              <w:t>2001</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sz w:val="22"/>
              </w:rPr>
            </w:pPr>
            <w:r>
              <w:rPr>
                <w:b/>
                <w:sz w:val="22"/>
              </w:rPr>
              <w:t>2002</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sz w:val="22"/>
              </w:rPr>
            </w:pPr>
            <w:r>
              <w:rPr>
                <w:b/>
                <w:sz w:val="22"/>
              </w:rPr>
              <w:t>2003</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sz w:val="22"/>
              </w:rPr>
            </w:pPr>
            <w:r>
              <w:rPr>
                <w:b/>
                <w:sz w:val="22"/>
              </w:rPr>
              <w:t>2004</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b/>
                <w:sz w:val="22"/>
              </w:rPr>
            </w:pPr>
            <w:r>
              <w:rPr>
                <w:b/>
                <w:sz w:val="22"/>
              </w:rPr>
              <w:t>2005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b/>
                <w:sz w:val="22"/>
              </w:rPr>
            </w:pPr>
            <w:r>
              <w:rPr>
                <w:b/>
                <w:sz w:val="22"/>
              </w:rPr>
              <w:t xml:space="preserve">Revenue </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0.48</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6.06</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17.59</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30.28</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40.09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5"/>
              <w:tabs>
                <w:tab w:val="clear" w:pos="720"/>
                <w:tab w:val="left" w:pos="0" w:leader="none"/>
              </w:tabs>
              <w:ind w:hanging="0" w:start="0"/>
              <w:rPr>
                <w:sz w:val="22"/>
              </w:rPr>
            </w:pPr>
            <w:r>
              <w:rPr>
                <w:sz w:val="22"/>
              </w:rPr>
              <w:t>Gross Margin %</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78%</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85%</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86%</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86%</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87%</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b/>
                <w:sz w:val="22"/>
              </w:rPr>
            </w:pPr>
            <w:r>
              <w:rPr>
                <w:b/>
                <w:sz w:val="22"/>
              </w:rPr>
              <w:t>Operating Profit (Loss)</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(2.63)</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(3.24)</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1.43</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8.93</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15.32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b/>
                <w:sz w:val="22"/>
              </w:rPr>
            </w:pPr>
            <w:r>
              <w:rPr>
                <w:b/>
                <w:sz w:val="22"/>
              </w:rPr>
              <w:t>EBITDA</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(2.26)</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(1.66)</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4.17</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12.47</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19.27</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rPr>
                <w:b/>
                <w:sz w:val="22"/>
              </w:rPr>
            </w:pPr>
            <w:r>
              <w:rPr>
                <w:b/>
                <w:sz w:val="22"/>
              </w:rPr>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center"/>
              <w:rPr>
                <w:b/>
                <w:sz w:val="22"/>
              </w:rPr>
            </w:pPr>
            <w:r>
              <w:rPr>
                <w:b/>
                <w:sz w:val="22"/>
              </w:rPr>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center"/>
              <w:rPr/>
            </w:pPr>
            <w:r>
              <w:rPr/>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center"/>
              <w:rPr/>
            </w:pPr>
            <w:r>
              <w:rPr/>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center"/>
              <w:rPr/>
            </w:pPr>
            <w:r>
              <w:rPr/>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snapToGrid w:val="false"/>
              <w:jc w:val="center"/>
              <w:rPr/>
            </w:pPr>
            <w:r>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b/>
                <w:sz w:val="22"/>
              </w:rPr>
            </w:pPr>
            <w:r>
              <w:rPr>
                <w:b/>
                <w:sz w:val="22"/>
              </w:rPr>
              <w:t>Business Customers</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423</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2,068</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4,581</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6,940</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9,032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rPr>
                <w:b/>
                <w:sz w:val="22"/>
              </w:rPr>
            </w:pPr>
            <w:r>
              <w:rPr>
                <w:b/>
                <w:sz w:val="22"/>
              </w:rPr>
              <w:t>Towers</w:t>
            </w:r>
          </w:p>
        </w:tc>
        <w:tc>
          <w:tcPr>
            <w:tcW w:w="12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6</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14</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24</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38</w:t>
            </w:r>
          </w:p>
        </w:tc>
        <w:tc>
          <w:tcPr>
            <w:tcW w:w="12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s>
              <w:jc w:val="center"/>
              <w:rPr/>
            </w:pPr>
            <w:r>
              <w:rPr/>
              <w:t>49</w:t>
            </w:r>
          </w:p>
        </w:tc>
      </w:tr>
    </w:tbl>
    <w:p>
      <w:pPr>
        <w:pStyle w:val="Normal"/>
        <w:tabs>
          <w:tab w:val="clear" w:pos="720"/>
          <w:tab w:val="left" w:pos="0" w:leader="none"/>
        </w:tabs>
        <w:rPr>
          <w:b/>
          <w:sz w:val="22"/>
        </w:rPr>
      </w:pPr>
      <w:r>
        <w:rPr>
          <w:b/>
          <w:sz w:val="22"/>
        </w:rPr>
      </w:r>
    </w:p>
    <w:p>
      <w:pPr>
        <w:pStyle w:val="Normal"/>
        <w:tabs>
          <w:tab w:val="clear" w:pos="720"/>
          <w:tab w:val="left" w:pos="0" w:leader="none"/>
        </w:tabs>
        <w:spacing w:before="120" w:after="0"/>
        <w:jc w:val="both"/>
        <w:rPr/>
      </w:pPr>
      <w:r>
        <w:rPr/>
        <w:t>TeliOn projects an operating loss of approximately $2.6 million through December 2001. The Company expects to reach EBITDA positive by November 2002 and Operating Break-</w:t>
      </w:r>
      <w:r>
        <w:rPr>
          <w:sz w:val="22"/>
        </w:rPr>
        <w:t xml:space="preserve">Even by May </w:t>
      </w:r>
      <w:r>
        <w:rPr/>
        <w:t xml:space="preserve">2003.  As noted above, the Company is currently conducting a $3.0 million equity offering and is seeking an additional $3.0 million in financing, including vendor financing, leasing arrangements, or additional equity investment (the "First Round Financing").  In connection with the First Round Financing, the Company is currently in negotiations regarding vendor financing from certain strategic vendors, including Cisco Systems and Nortel Networks.  Within a year of closing the First Round Financing, the Company plans to seek an additional $12.0 million in financing (the “Second Round Financing”), which the company expects will have a similar division of debt and equity as the First Round Financing.  The combination of the First Round Financing and the Second Round Financing will fully fund the Company’s business plan with a total of $18.0 million. </w:t>
      </w:r>
    </w:p>
    <w:p>
      <w:pPr>
        <w:pStyle w:val="Normal"/>
        <w:tabs>
          <w:tab w:val="clear" w:pos="720"/>
          <w:tab w:val="left" w:pos="0" w:leader="none"/>
        </w:tabs>
        <w:spacing w:before="120" w:after="0"/>
        <w:jc w:val="both"/>
        <w:rPr>
          <w:sz w:val="22"/>
        </w:rPr>
      </w:pPr>
      <w:r>
        <w:rPr>
          <w:sz w:val="22"/>
        </w:rPr>
      </w:r>
    </w:p>
    <w:p>
      <w:pPr>
        <w:pStyle w:val="Normal"/>
        <w:tabs>
          <w:tab w:val="clear" w:pos="720"/>
          <w:tab w:val="left" w:pos="0" w:leader="none"/>
        </w:tabs>
        <w:spacing w:before="120" w:after="0"/>
        <w:jc w:val="both"/>
        <w:rPr>
          <w:sz w:val="22"/>
        </w:rPr>
      </w:pPr>
      <w:r>
        <w:rPr>
          <w:sz w:val="22"/>
        </w:rPr>
      </w:r>
    </w:p>
    <w:p>
      <w:pPr>
        <w:pStyle w:val="Normal"/>
        <w:tabs>
          <w:tab w:val="clear" w:pos="720"/>
          <w:tab w:val="left" w:pos="0" w:leader="none"/>
        </w:tabs>
        <w:spacing w:before="120" w:after="0"/>
        <w:jc w:val="both"/>
        <w:rPr>
          <w:sz w:val="22"/>
        </w:rPr>
      </w:pPr>
      <w:r>
        <w:rPr/>
        <w:t>* [From $550 (average sale) x 10 (new sales) x 78 (annualized factor)]</w:t>
      </w:r>
    </w:p>
    <w:p>
      <w:pPr>
        <w:pStyle w:val="Normal"/>
        <w:tabs>
          <w:tab w:val="clear" w:pos="720"/>
          <w:tab w:val="left" w:pos="0" w:leader="none"/>
        </w:tabs>
        <w:spacing w:before="120" w:after="0"/>
        <w:jc w:val="both"/>
        <w:rPr>
          <w:sz w:val="22"/>
        </w:rPr>
      </w:pPr>
      <w:r>
        <w:rPr>
          <w:sz w:val="22"/>
        </w:rPr>
      </w:r>
    </w:p>
    <w:p>
      <w:pPr>
        <w:pStyle w:val="Normal"/>
        <w:jc w:val="both"/>
        <w:rPr>
          <w:sz w:val="22"/>
        </w:rPr>
      </w:pPr>
      <w:r>
        <w:rPr>
          <w:b/>
          <w:i/>
          <w:sz w:val="22"/>
        </w:rPr>
        <w:t>Key Investment Considerations</w:t>
      </w:r>
    </w:p>
    <w:p>
      <w:pPr>
        <w:pStyle w:val="Normal"/>
        <w:numPr>
          <w:ilvl w:val="0"/>
          <w:numId w:val="6"/>
        </w:numPr>
        <w:tabs>
          <w:tab w:val="left" w:pos="720" w:leader="none"/>
        </w:tabs>
        <w:spacing w:before="180" w:after="0"/>
        <w:ind w:hanging="360" w:start="720" w:end="0"/>
        <w:jc w:val="both"/>
        <w:rPr/>
      </w:pPr>
      <w:r>
        <w:rPr>
          <w:b/>
          <w:sz w:val="22"/>
        </w:rPr>
        <w:t>Experienced Management Team:</w:t>
      </w:r>
      <w:r>
        <w:rPr>
          <w:sz w:val="22"/>
        </w:rPr>
        <w:t xml:space="preserve"> </w:t>
      </w:r>
      <w:r>
        <w:rPr/>
        <w:t>has the proven ability to successfully execute its focused business strategy.  This team has proven its abilities, together as a group, and individually, prior to the formation of TeliOn, to achieve significant organic and external growth through grass roots business development and select acquisitions.  The intent is to replicate this record of achievement with TeliOn.</w:t>
      </w:r>
    </w:p>
    <w:p>
      <w:pPr>
        <w:pStyle w:val="Normal"/>
        <w:numPr>
          <w:ilvl w:val="0"/>
          <w:numId w:val="6"/>
        </w:numPr>
        <w:tabs>
          <w:tab w:val="left" w:pos="720" w:leader="none"/>
        </w:tabs>
        <w:spacing w:before="120" w:after="0"/>
        <w:ind w:hanging="360" w:start="720" w:end="0"/>
        <w:jc w:val="both"/>
        <w:rPr>
          <w:color w:val="000000"/>
        </w:rPr>
      </w:pPr>
      <w:r>
        <w:rPr>
          <w:b/>
          <w:sz w:val="22"/>
        </w:rPr>
        <w:t>Business Model and Technology</w:t>
      </w:r>
      <w:r>
        <w:rPr/>
        <w:t>.</w:t>
      </w:r>
      <w:r>
        <w:rPr>
          <w:b/>
        </w:rPr>
        <w:t xml:space="preserve">  </w:t>
      </w:r>
      <w:r>
        <w:rPr>
          <w:color w:val="000000"/>
        </w:rPr>
        <w:t>TeliOn currently has targeted three metropolitan areas with over 150,000 businesses that serve almost 5 million residents. TeliOn projects revenue will increase to $40 million by fiscal 2005.</w:t>
      </w:r>
      <w:r>
        <w:rPr>
          <w:b/>
          <w:i/>
          <w:color w:val="000000"/>
        </w:rPr>
        <w:t xml:space="preserve"> </w:t>
      </w:r>
      <w:r>
        <w:rPr>
          <w:color w:val="000000"/>
        </w:rPr>
        <w:t>The model predicates a 6% market capture to reach projections - a rate easily consistent with the Company's founders' experience.</w:t>
      </w:r>
    </w:p>
    <w:p>
      <w:pPr>
        <w:pStyle w:val="Normal"/>
        <w:numPr>
          <w:ilvl w:val="0"/>
          <w:numId w:val="6"/>
        </w:numPr>
        <w:tabs>
          <w:tab w:val="left" w:pos="720" w:leader="none"/>
        </w:tabs>
        <w:spacing w:before="180" w:after="0"/>
        <w:ind w:hanging="360" w:start="720" w:end="0"/>
        <w:jc w:val="both"/>
        <w:rPr/>
      </w:pPr>
      <w:r>
        <w:rPr>
          <w:b/>
          <w:sz w:val="22"/>
        </w:rPr>
        <w:t>Business Plan Validation by Strategic Vendors.</w:t>
      </w:r>
      <w:r>
        <w:rPr>
          <w:sz w:val="22"/>
        </w:rPr>
        <w:t xml:space="preserve">  </w:t>
      </w:r>
      <w:r>
        <w:rPr/>
        <w:t>TeliOn is currently negotiating a multi-million dollar package of vendor financing from industry leaders including Nortel and Cisco.  If the Company is successful in these negotiations, in addition to technology, these strategic companies will provide support to TeliOn’s business plan and execution by contributing up to 100% financing for equipment along with a percentage of working capital.</w:t>
      </w:r>
    </w:p>
    <w:p>
      <w:pPr>
        <w:pStyle w:val="Normal"/>
        <w:numPr>
          <w:ilvl w:val="0"/>
          <w:numId w:val="6"/>
        </w:numPr>
        <w:tabs>
          <w:tab w:val="left" w:pos="720" w:leader="none"/>
        </w:tabs>
        <w:spacing w:before="180" w:after="0"/>
        <w:ind w:hanging="360" w:start="720" w:end="0"/>
        <w:jc w:val="both"/>
        <w:rPr>
          <w:sz w:val="18"/>
        </w:rPr>
      </w:pPr>
      <w:r>
        <w:rPr>
          <w:b/>
          <w:sz w:val="22"/>
        </w:rPr>
        <w:t xml:space="preserve">State-of-the-Art Data &amp; Voice Telecommunications Network.  </w:t>
      </w:r>
      <w:r>
        <w:rPr/>
        <w:t xml:space="preserve">TeliOn plans to deploy state-of-the-art hardware and software for the telecommunications network, the software that supports services to customers and the software for internal management functions. This deployment strategy provides TeliOn with the platform from which to launch new products and services.  </w:t>
      </w:r>
    </w:p>
    <w:p>
      <w:pPr>
        <w:pStyle w:val="Normal"/>
        <w:numPr>
          <w:ilvl w:val="0"/>
          <w:numId w:val="6"/>
        </w:numPr>
        <w:tabs>
          <w:tab w:val="left" w:pos="720" w:leader="none"/>
        </w:tabs>
        <w:spacing w:before="180" w:after="0"/>
        <w:ind w:hanging="360" w:start="720" w:end="0"/>
        <w:jc w:val="both"/>
        <w:rPr>
          <w:sz w:val="18"/>
        </w:rPr>
      </w:pPr>
      <w:r>
        <w:rPr>
          <w:b/>
          <w:sz w:val="22"/>
        </w:rPr>
        <w:t>Risk Factors</w:t>
      </w:r>
      <w:r>
        <w:rPr>
          <w:b/>
        </w:rPr>
        <w:t>.</w:t>
      </w:r>
      <w:r>
        <w:rPr/>
        <w:t xml:space="preserve">  Risk factors associated with TeliOn and investments in securities issued by TeliOn are contained in a separate section of the Private Placement Memorandum and should be reviewed by the prospective investor prior to making an investment.</w:t>
      </w:r>
    </w:p>
    <w:sectPr>
      <w:headerReference w:type="default" r:id="rId8"/>
      <w:headerReference w:type="first" r:id="rId9"/>
      <w:footerReference w:type="default" r:id="rId10"/>
      <w:footerReference w:type="first" r:id="rId11"/>
      <w:type w:val="nextPage"/>
      <w:pgSz w:w="12240" w:h="15840"/>
      <w:pgMar w:left="1886" w:right="1440" w:gutter="0" w:header="720" w:top="1152" w:footer="14"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Univers (E1)">
    <w:charset w:val="00" w:characterSet="windows-1252"/>
    <w:family w:val="swiss"/>
    <w:pitch w:val="variable"/>
  </w:font>
  <w:font w:name="Century Schoolbook">
    <w:altName w:val="Bookman Old Style"/>
    <w:charset w:val="00" w:characterSet="windows-1252"/>
    <w:family w:val="roman"/>
    <w:pitch w:val="variable"/>
  </w:font>
  <w:font w:name="Gill San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sz w:val="20"/>
        <w:lang w:val="en-CA" w:eastAsia="en-CA"/>
      </w:rPr>
    </w:pPr>
    <w:r>
      <w:rPr>
        <w:b/>
        <w:i/>
        <w:sz w:val="20"/>
        <w:lang w:val="en-CA" w:eastAsia="en-CA"/>
      </w:rPr>
      <mc:AlternateContent>
        <mc:Choice Requires="wps">
          <w:drawing>
            <wp:anchor behindDoc="1" distT="0" distB="0" distL="114935" distR="114935" simplePos="0" locked="0" layoutInCell="1" allowOverlap="1" relativeHeight="3">
              <wp:simplePos x="0" y="0"/>
              <wp:positionH relativeFrom="column">
                <wp:posOffset>-914400</wp:posOffset>
              </wp:positionH>
              <wp:positionV relativeFrom="paragraph">
                <wp:posOffset>-95885</wp:posOffset>
              </wp:positionV>
              <wp:extent cx="731520" cy="640080"/>
              <wp:effectExtent l="0" t="0" r="0" b="0"/>
              <wp:wrapNone/>
              <wp:docPr id="2" name=""/>
              <a:graphic xmlns:a="http://schemas.openxmlformats.org/drawingml/2006/main">
                <a:graphicData uri="http://schemas.microsoft.com/office/word/2010/wordprocessingShape">
                  <wps:wsp>
                    <wps:cNvSpPr/>
                    <wps:spPr>
                      <a:xfrm>
                        <a:off x="0" y="0"/>
                        <a:ext cx="731520" cy="64008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72pt;margin-top:-7.55pt;width:57.55pt;height:50.35pt;mso-wrap-style:none;v-text-anchor:middle">
              <v:fill o:detectmouseclick="t" type="solid" color2="black"/>
              <v:stroke color="#3465a4" joinstyle="round" endcap="flat"/>
              <w10:wrap type="none"/>
            </v:rect>
          </w:pict>
        </mc:Fallback>
      </mc:AlternateContent>
    </w:r>
    <w:r>
      <mc:AlternateContent>
        <mc:Choice Requires="wps">
          <w:drawing>
            <wp:anchor behindDoc="1" distT="0" distB="0" distL="114935" distR="114935" simplePos="0" locked="0" layoutInCell="1" allowOverlap="1" relativeHeight="4">
              <wp:simplePos x="0" y="0"/>
              <wp:positionH relativeFrom="column">
                <wp:posOffset>-914400</wp:posOffset>
              </wp:positionH>
              <wp:positionV relativeFrom="paragraph">
                <wp:posOffset>26670</wp:posOffset>
              </wp:positionV>
              <wp:extent cx="914400" cy="182880"/>
              <wp:effectExtent l="0" t="0" r="0" b="0"/>
              <wp:wrapNone/>
              <wp:docPr id="3" name="Frame1"/>
              <a:graphic xmlns:a="http://schemas.openxmlformats.org/drawingml/2006/main">
                <a:graphicData uri="http://schemas.microsoft.com/office/word/2010/wordprocessingShape">
                  <wps:wsp>
                    <wps:cNvSpPr txBox="1"/>
                    <wps:spPr>
                      <a:xfrm>
                        <a:off x="0" y="0"/>
                        <a:ext cx="914400" cy="18288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72pt;height:14.4pt;mso-wrap-distance-left:9.05pt;mso-wrap-distance-right:9.05pt;mso-wrap-distance-top:0pt;mso-wrap-distance-bottom:0pt;margin-top:2.1pt;mso-position-vertical-relative:text;margin-left:-72pt;mso-position-horizontal-relative:text">
              <v:textbox inset="0.100694444444444in,0.0506944444444444in,0.100694444444444in,0.0506944444444444in">
                <w:txbxContent>
                  <w:p>
                    <w:pPr>
                      <w:pStyle w:val="Normal"/>
                      <w:rPr/>
                    </w:pPr>
                    <w:r>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tabs>
        <w:tab w:val="clear" w:pos="4320"/>
        <w:tab w:val="clear" w:pos="8640"/>
        <w:tab w:val="center" w:pos="5040" w:leader="none"/>
        <w:tab w:val="right" w:pos="8910" w:leader="none"/>
        <w:tab w:val="right" w:pos="12960" w:leader="none"/>
      </w:tabs>
      <w:rPr/>
    </w:pPr>
    <w:r>
      <w:rPr>
        <w:rStyle w:val="PageNumber"/>
        <w:rFonts w:cs="Times New Roman" w:ascii="Times New Roman" w:hAnsi="Times New Roman"/>
        <w:b/>
        <w:i/>
        <w:sz w:val="20"/>
      </w:rPr>
      <w:tab/>
      <w:t xml:space="preserve">- </w:t>
    </w:r>
    <w:r>
      <w:rPr>
        <w:rStyle w:val="PageNumber"/>
        <w:rFonts w:cs="Times New Roman" w:ascii="Times New Roman" w:hAnsi="Times New Roman"/>
        <w:b/>
        <w:i/>
        <w:sz w:val="20"/>
      </w:rPr>
      <w:fldChar w:fldCharType="begin"/>
    </w:r>
    <w:r>
      <w:rPr>
        <w:rStyle w:val="PageNumber"/>
        <w:sz w:val="20"/>
        <w:i/>
        <w:b/>
        <w:rFonts w:cs="Times New Roman" w:ascii="Times New Roman" w:hAnsi="Times New Roman"/>
      </w:rPr>
      <w:instrText xml:space="preserve"> PAGE </w:instrText>
    </w:r>
    <w:r>
      <w:rPr>
        <w:rStyle w:val="PageNumber"/>
        <w:sz w:val="20"/>
        <w:i/>
        <w:b/>
        <w:rFonts w:cs="Times New Roman" w:ascii="Times New Roman" w:hAnsi="Times New Roman"/>
      </w:rPr>
      <w:fldChar w:fldCharType="separate"/>
    </w:r>
    <w:r>
      <w:rPr>
        <w:rStyle w:val="PageNumber"/>
        <w:sz w:val="20"/>
        <w:i/>
        <w:b/>
        <w:rFonts w:cs="Times New Roman" w:ascii="Times New Roman" w:hAnsi="Times New Roman"/>
      </w:rPr>
      <w:t>5</w:t>
    </w:r>
    <w:r>
      <w:rPr>
        <w:rStyle w:val="PageNumber"/>
        <w:sz w:val="20"/>
        <w:i/>
        <w:b/>
        <w:rFonts w:cs="Times New Roman" w:ascii="Times New Roman" w:hAnsi="Times New Roman"/>
      </w:rPr>
      <w:fldChar w:fldCharType="end"/>
    </w:r>
    <w:r>
      <w:rPr>
        <w:rStyle w:val="PageNumber"/>
        <w:rFonts w:cs="Times New Roman" w:ascii="Times New Roman" w:hAnsi="Times New Roman"/>
        <w:b/>
        <w:i/>
        <w:sz w:val="20"/>
      </w:rPr>
      <w:t xml:space="preserve"> -</w:t>
      <w:tab/>
      <w:t>Confidential</w:t>
    </w:r>
  </w:p>
  <w:p>
    <w:pPr>
      <w:pStyle w:val="Footer"/>
      <w:pBdr>
        <w:top w:val="single" w:sz="6" w:space="0" w:color="000000"/>
      </w:pBdr>
      <w:tabs>
        <w:tab w:val="clear" w:pos="4320"/>
        <w:tab w:val="clear" w:pos="8640"/>
        <w:tab w:val="center" w:pos="5040" w:leader="none"/>
        <w:tab w:val="right" w:pos="9360" w:leader="none"/>
        <w:tab w:val="right" w:pos="12960" w:leader="none"/>
      </w:tabs>
      <w:rPr>
        <w:rStyle w:val="PageNumber"/>
        <w:rFonts w:ascii="Times New Roman" w:hAnsi="Times New Roman" w:cs="Times New Roman"/>
        <w:b/>
        <w:i/>
        <w:i/>
        <w:sz w:val="20"/>
      </w:rPr>
    </w:pPr>
    <w:r>
      <w:rPr/>
    </w:r>
  </w:p>
  <w:p>
    <w:pPr>
      <w:pStyle w:val="Footer"/>
      <w:pBdr>
        <w:top w:val="single" w:sz="6" w:space="0" w:color="000000"/>
      </w:pBdr>
      <w:tabs>
        <w:tab w:val="clear" w:pos="4320"/>
        <w:tab w:val="clear" w:pos="8640"/>
        <w:tab w:val="center" w:pos="5040" w:leader="none"/>
        <w:tab w:val="right" w:pos="9360" w:leader="none"/>
        <w:tab w:val="right" w:pos="12960" w:leader="none"/>
      </w:tabs>
      <w:rPr>
        <w:rStyle w:val="PageNumber"/>
        <w:rFonts w:ascii="Times New Roman" w:hAnsi="Times New Roman" w:cs="Times New Roman"/>
        <w:b/>
        <w:i/>
        <w:i/>
        <w:sz w:val="16"/>
      </w:rPr>
    </w:pPr>
    <w:r>
      <w:rPr/>
    </w:r>
  </w:p>
  <w:p>
    <w:pPr>
      <w:pStyle w:val="Footer"/>
      <w:pBdr>
        <w:top w:val="single" w:sz="6" w:space="0" w:color="000000"/>
      </w:pBdr>
      <w:tabs>
        <w:tab w:val="clear" w:pos="4320"/>
        <w:tab w:val="clear" w:pos="8640"/>
        <w:tab w:val="center" w:pos="5040" w:leader="none"/>
        <w:tab w:val="right" w:pos="9360" w:leader="none"/>
        <w:tab w:val="right" w:pos="12960" w:leader="none"/>
      </w:tabs>
      <w:rPr>
        <w:rFonts w:ascii="Times New Roman" w:hAnsi="Times New Roman" w:cs="Times New Roman"/>
        <w:i/>
        <w:i/>
        <w:sz w:val="20"/>
      </w:rPr>
    </w:pPr>
    <w:r>
      <w:rPr>
        <w:rFonts w:cs="Times New Roman" w:ascii="Times New Roman" w:hAnsi="Times New Roman"/>
        <w: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 w:val="right" w:pos="12960" w:leader="none"/>
      </w:tabs>
      <w:rPr>
        <w:i/>
        <w:i/>
      </w:rPr>
    </w:pPr>
    <w:r>
      <w:rPr>
        <w:rFonts w:cs="Garamond" w:ascii="Garamond" w:hAnsi="Garamond"/>
        <w:b/>
        <w:smallCaps/>
      </w:rPr>
      <w:tab/>
      <w:tab/>
    </w:r>
  </w:p>
  <w:p>
    <w:pPr>
      <w:pStyle w:val="Header"/>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tabs>
        <w:tab w:val="clear" w:pos="4320"/>
        <w:tab w:val="clear" w:pos="8640"/>
        <w:tab w:val="center" w:pos="8100" w:leader="none"/>
        <w:tab w:val="right" w:pos="8910" w:leader="none"/>
        <w:tab w:val="right" w:pos="12960" w:leader="none"/>
      </w:tabs>
      <w:rPr>
        <w:i/>
        <w:i/>
      </w:rPr>
    </w:pPr>
    <w:r>
      <mc:AlternateContent>
        <mc:Choice Requires="wps">
          <w:drawing>
            <wp:anchor behindDoc="1" distT="0" distB="0" distL="114935" distR="114935" simplePos="0" locked="0" layoutInCell="1" allowOverlap="1" relativeHeight="9">
              <wp:simplePos x="0" y="0"/>
              <wp:positionH relativeFrom="column">
                <wp:posOffset>-365760</wp:posOffset>
              </wp:positionH>
              <wp:positionV relativeFrom="paragraph">
                <wp:posOffset>-182880</wp:posOffset>
              </wp:positionV>
              <wp:extent cx="274320" cy="365760"/>
              <wp:effectExtent l="0" t="0" r="0" b="0"/>
              <wp:wrapNone/>
              <wp:docPr id="4" name=""/>
              <a:graphic xmlns:a="http://schemas.openxmlformats.org/drawingml/2006/main">
                <a:graphicData uri="http://schemas.microsoft.com/office/word/2010/wordprocessingShape">
                  <wps:wsp>
                    <wps:cNvSpPr/>
                    <wps:spPr>
                      <a:xfrm>
                        <a:off x="0" y="0"/>
                        <a:ext cx="274320" cy="3657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28.8pt;margin-top:-14.4pt;width:21.55pt;height:28.75pt;mso-wrap-style:none;v-text-anchor:middle">
              <v:fill o:detectmouseclick="t" type="solid" color2="black"/>
              <v:stroke color="#3465a4" joinstyle="round" endcap="flat"/>
              <w10:wrap type="none"/>
            </v:rect>
          </w:pict>
        </mc:Fallback>
      </mc:AlternateContent>
    </w:r>
    <w:r>
      <w:rPr>
        <w:rFonts w:cs="Times New Roman" w:ascii="Times New Roman" w:hAnsi="Times New Roman"/>
        <w:b/>
        <w:smallCaps/>
      </w:rPr>
      <w:t>TeliOn LLC</w:t>
      <w:tab/>
      <w:t>www.TeliOn. tv</w:t>
    </w:r>
    <w:r>
      <w:rPr>
        <w:b/>
        <w:i/>
        <w:sz w:val="20"/>
      </w:rPr>
      <w:tab/>
      <w:tab/>
      <w:tab/>
      <w:t>For Internal Use Only</w:t>
    </w:r>
  </w:p>
  <w:p>
    <w:pPr>
      <w:pStyle w:val="Header"/>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73"/>
        </w:tabs>
        <w:ind w:start="773"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lowerRoman"/>
      <w:lvlText w:val="%1."/>
      <w:lvlJc w:val="end"/>
      <w:pPr>
        <w:tabs>
          <w:tab w:val="num" w:pos="720"/>
        </w:tabs>
        <w:ind w:start="720" w:hanging="360"/>
      </w:pPr>
    </w:lvl>
  </w:abstractNum>
  <w:abstractNum w:abstractNumId="8">
    <w:lvl w:ilvl="0">
      <w:start w:val="2"/>
      <w:numFmt w:val="upperRoman"/>
      <w:lvlText w:val="%1."/>
      <w:lvlJc w:val="start"/>
      <w:pPr>
        <w:tabs>
          <w:tab w:val="num" w:pos="720"/>
        </w:tabs>
        <w:ind w:start="720" w:hanging="720"/>
      </w:pPr>
      <w:rPr>
        <w:sz w:val="26"/>
        <w:i w:val="false"/>
        <w:b/>
        <w:rFonts w:ascii="Garamond" w:hAnsi="Garamond" w:cs="Garamond"/>
      </w:rPr>
    </w:lvl>
  </w:abstractNum>
  <w:abstractNum w:abstractNumId="9">
    <w:lvl w:ilvl="0">
      <w:start w:val="1"/>
      <w:numFmt w:val="bullet"/>
      <w:lvlText w:val=""/>
      <w:lvlJc w:val="start"/>
      <w:pPr>
        <w:tabs>
          <w:tab w:val="num" w:pos="691"/>
        </w:tabs>
        <w:ind w:start="691" w:hanging="360"/>
      </w:pPr>
      <w:rPr>
        <w:rFonts w:ascii="Symbol" w:hAnsi="Symbol" w:cs="Symbol" w:hint="default"/>
      </w:rPr>
    </w:lvl>
  </w:abstractNum>
  <w:abstractNum w:abstractNumId="10">
    <w:lvl w:ilvl="0">
      <w:start w:val="1"/>
      <w:numFmt w:val="bullet"/>
      <w:lvlText w:val=""/>
      <w:lvlJc w:val="start"/>
      <w:pPr>
        <w:tabs>
          <w:tab w:val="num" w:pos="690"/>
        </w:tabs>
        <w:ind w:start="690" w:hanging="360"/>
      </w:pPr>
      <w:rPr>
        <w:rFonts w:ascii="Symbol" w:hAnsi="Symbol" w:cs="Symbol" w:hint="default"/>
      </w:rPr>
    </w:lvl>
  </w:abstractNum>
  <w:abstractNum w:abstractNumId="11">
    <w:lvl w:ilvl="0">
      <w:start w:val="1"/>
      <w:numFmt w:val="bullet"/>
      <w:lvlText w:val=""/>
      <w:lvlJc w:val="start"/>
      <w:pPr>
        <w:tabs>
          <w:tab w:val="num" w:pos="691"/>
        </w:tabs>
        <w:ind w:start="691" w:hanging="360"/>
      </w:pPr>
      <w:rPr>
        <w:rFonts w:ascii="Symbol" w:hAnsi="Symbol" w:cs="Symbol" w:hint="default"/>
      </w:rPr>
    </w:lvl>
  </w:abstractNum>
  <w:abstractNum w:abstractNumId="12">
    <w:lvl w:ilvl="0">
      <w:start w:val="1"/>
      <w:numFmt w:val="bullet"/>
      <w:lvlText w:val=""/>
      <w:lvlJc w:val="start"/>
      <w:pPr>
        <w:tabs>
          <w:tab w:val="num" w:pos="691"/>
        </w:tabs>
        <w:ind w:start="691" w:hanging="360"/>
      </w:pPr>
      <w:rPr>
        <w:rFonts w:ascii="Symbol" w:hAnsi="Symbol" w:cs="Symbol" w:hint="default"/>
      </w:rPr>
    </w:lvl>
  </w:abstractNum>
  <w:abstractNum w:abstractNumId="13">
    <w:lvl w:ilvl="0">
      <w:start w:val="1"/>
      <w:numFmt w:val="bullet"/>
      <w:lvlText w:val=""/>
      <w:lvlJc w:val="start"/>
      <w:pPr>
        <w:tabs>
          <w:tab w:val="num" w:pos="691"/>
        </w:tabs>
        <w:ind w:start="691" w:hanging="360"/>
      </w:pPr>
      <w:rPr>
        <w:rFonts w:ascii="Symbol" w:hAnsi="Symbol" w:cs="Symbol" w:hint="default"/>
      </w:rPr>
    </w:lvl>
  </w:abstractNum>
  <w:abstractNum w:abstractNumId="14">
    <w:lvl w:ilvl="0">
      <w:start w:val="1"/>
      <w:numFmt w:val="bullet"/>
      <w:lvlText w:val=""/>
      <w:lvlJc w:val="start"/>
      <w:pPr>
        <w:tabs>
          <w:tab w:val="num" w:pos="690"/>
        </w:tabs>
        <w:ind w:start="690" w:hanging="360"/>
      </w:pPr>
      <w:rPr>
        <w:rFonts w:ascii="Symbol" w:hAnsi="Symbol" w:cs="Symbol" w:hint="default"/>
      </w:rPr>
    </w:lvl>
  </w:abstractNum>
  <w:abstractNum w:abstractNumId="15">
    <w:lvl w:ilvl="0">
      <w:start w:val="1"/>
      <w:numFmt w:val="upperRoman"/>
      <w:lvlText w:val="%1."/>
      <w:lvlJc w:val="start"/>
      <w:pPr>
        <w:tabs>
          <w:tab w:val="num" w:pos="720"/>
        </w:tabs>
        <w:ind w:start="720" w:hanging="720"/>
      </w:pPr>
      <w:rPr>
        <w:sz w:val="26"/>
        <w:i/>
        <w:b/>
        <w:rFonts w:ascii="Garamond" w:hAnsi="Garamond" w:cs="Garamond"/>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jc w:val="center"/>
      <w:outlineLvl w:val="0"/>
    </w:pPr>
    <w:rPr>
      <w:b/>
      <w:color w:val="000080"/>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
    <w:qFormat/>
    <w:pPr>
      <w:keepNext w:val="true"/>
      <w:numPr>
        <w:ilvl w:val="2"/>
        <w:numId w:val="1"/>
      </w:numPr>
      <w:suppressAutoHyphens w:val="true"/>
      <w:jc w:val="center"/>
      <w:outlineLvl w:val="2"/>
    </w:pPr>
    <w:rPr>
      <w:b/>
      <w:color w:val="808000"/>
      <w:sz w:val="44"/>
    </w:rPr>
  </w:style>
  <w:style w:type="paragraph" w:styleId="Heading4">
    <w:name w:val="heading 4"/>
    <w:basedOn w:val="Normal"/>
    <w:next w:val="Normal"/>
    <w:qFormat/>
    <w:pPr>
      <w:keepNext w:val="true"/>
      <w:numPr>
        <w:ilvl w:val="0"/>
        <w:numId w:val="15"/>
      </w:numPr>
      <w:outlineLvl w:val="3"/>
    </w:pPr>
    <w:rPr>
      <w:sz w:val="28"/>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tabs>
        <w:tab w:val="clear" w:pos="720"/>
        <w:tab w:val="left" w:pos="-540" w:leader="none"/>
      </w:tabs>
      <w:ind w:hanging="0" w:start="-540" w:end="-360"/>
      <w:jc w:val="center"/>
      <w:outlineLvl w:val="6"/>
    </w:pPr>
    <w:rPr>
      <w:rFonts w:ascii="Garamond" w:hAnsi="Garamond" w:cs="Garamond"/>
      <w:b/>
      <w:sz w:val="24"/>
    </w:rPr>
  </w:style>
  <w:style w:type="paragraph" w:styleId="Heading8">
    <w:name w:val="heading 8"/>
    <w:basedOn w:val="Normal"/>
    <w:next w:val="Normal"/>
    <w:qFormat/>
    <w:pPr>
      <w:keepNext w:val="true"/>
      <w:numPr>
        <w:ilvl w:val="0"/>
        <w:numId w:val="8"/>
      </w:numPr>
      <w:outlineLvl w:val="7"/>
    </w:pPr>
    <w:rPr>
      <w:rFonts w:ascii="Garamond" w:hAnsi="Garamond" w:cs="Garamond"/>
      <w:b/>
      <w:i/>
      <w:sz w:val="26"/>
    </w:rPr>
  </w:style>
  <w:style w:type="paragraph" w:styleId="Heading9">
    <w:name w:val="heading 9"/>
    <w:basedOn w:val="Normal"/>
    <w:next w:val="Normal"/>
    <w:qFormat/>
    <w:pPr>
      <w:keepNext w:val="true"/>
      <w:numPr>
        <w:ilvl w:val="8"/>
        <w:numId w:val="1"/>
      </w:numPr>
      <w:outlineLvl w:val="8"/>
    </w:pPr>
    <w:rPr>
      <w:rFonts w:ascii="Garamond" w:hAnsi="Garamond" w:cs="Garamond"/>
      <w:b/>
      <w:i/>
      <w:sz w:val="2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sz w:val="16"/>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sz w:val="16"/>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Wingdings" w:hAnsi="Wingdings" w:cs="Wingdings"/>
      <w:sz w:val="16"/>
    </w:rPr>
  </w:style>
  <w:style w:type="character" w:styleId="WW8Num36z0">
    <w:name w:val="WW8Num36z0"/>
    <w:qFormat/>
    <w:rPr>
      <w:rFonts w:ascii="Symbol" w:hAnsi="Symbol" w:cs="Symbol"/>
    </w:rPr>
  </w:style>
  <w:style w:type="character" w:styleId="WW8Num37z0">
    <w:name w:val="WW8Num37z0"/>
    <w:qFormat/>
    <w:rPr>
      <w:rFonts w:ascii="Symbol" w:hAnsi="Symbol" w:cs="Symbol"/>
      <w:sz w:val="20"/>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40z0">
    <w:name w:val="WW8Num40z0"/>
    <w:qFormat/>
    <w:rPr>
      <w:rFonts w:ascii="Times New Roman" w:hAnsi="Times New Roman"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Times New Roman" w:hAnsi="Times New Roman" w:eastAsia="Times New Roman" w:cs="Times New Roman"/>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style>
  <w:style w:type="character" w:styleId="WW8Num48z0">
    <w:name w:val="WW8Num48z0"/>
    <w:qFormat/>
    <w:rPr>
      <w:rFonts w:ascii="Times New Roman" w:hAnsi="Times New Roman" w:eastAsia="Times New Roman" w:cs="Times New Roman"/>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Garamond" w:hAnsi="Garamond" w:cs="Garamond"/>
      <w:b/>
      <w:i w:val="false"/>
      <w:sz w:val="26"/>
    </w:rPr>
  </w:style>
  <w:style w:type="character" w:styleId="WW8Num57z0">
    <w:name w:val="WW8Num57z0"/>
    <w:qFormat/>
    <w:rPr>
      <w:rFonts w:ascii="Times New Roman" w:hAnsi="Times New Roman" w:eastAsia="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sz w:val="20"/>
    </w:rPr>
  </w:style>
  <w:style w:type="character" w:styleId="WW8Num59z0">
    <w:name w:val="WW8Num59z0"/>
    <w:qFormat/>
    <w:rPr>
      <w:rFonts w:ascii="Symbol" w:hAnsi="Symbol" w:cs="Symbol"/>
      <w:sz w:val="20"/>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Times New Roman" w:hAnsi="Times New Roman" w:eastAsia="Times New Roman" w:cs="Times New Roman"/>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Times New Roman" w:hAnsi="Times New Roman" w:eastAsia="Times New Roman" w:cs="Times New Roman"/>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Times New Roman" w:hAnsi="Times New Roman" w:eastAsia="Times New Roman" w:cs="Times New Roman"/>
    </w:rPr>
  </w:style>
  <w:style w:type="character" w:styleId="WW8Num70z2">
    <w:name w:val="WW8Num70z2"/>
    <w:qFormat/>
    <w:rPr>
      <w:rFonts w:ascii="Wingdings" w:hAnsi="Wingdings" w:cs="Wingdings"/>
    </w:rPr>
  </w:style>
  <w:style w:type="character" w:styleId="WW8Num70z4">
    <w:name w:val="WW8Num70z4"/>
    <w:qFormat/>
    <w:rPr>
      <w:rFonts w:ascii="Courier New" w:hAnsi="Courier New" w:cs="Courier New"/>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5z0">
    <w:name w:val="WW8Num75z0"/>
    <w:qFormat/>
    <w:rPr>
      <w:rFonts w:ascii="Symbol" w:hAnsi="Symbol" w:cs="Symbol"/>
      <w:sz w:val="20"/>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Times New Roman" w:hAnsi="Times New Roman" w:eastAsia="Times New Roman" w:cs="Times New Roman"/>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rFonts w:ascii="Times New Roman" w:hAnsi="Times New Roman" w:eastAsia="Times New Roman" w:cs="Times New Roman"/>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6z0">
    <w:name w:val="WW8Num86z0"/>
    <w:qFormat/>
    <w:rPr>
      <w:rFonts w:ascii="Symbol" w:hAnsi="Symbol" w:cs="Symbol"/>
      <w:sz w:val="16"/>
    </w:rPr>
  </w:style>
  <w:style w:type="character" w:styleId="WW8Num87z0">
    <w:name w:val="WW8Num87z0"/>
    <w:qFormat/>
    <w:rPr>
      <w:rFonts w:ascii="Symbol" w:hAnsi="Symbol" w:cs="Symbol"/>
      <w:sz w:val="18"/>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Times New Roman" w:hAnsi="Times New Roman" w:eastAsia="Times New Roman" w:cs="Times New Roman"/>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Times New Roman" w:hAnsi="Times New Roman" w:eastAsia="Times New Roman" w:cs="Times New Roman"/>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Garamond" w:hAnsi="Garamond" w:cs="Garamond"/>
      <w:b/>
      <w:i/>
      <w:sz w:val="26"/>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Times New Roman" w:hAnsi="Times New Roman" w:eastAsia="Times New Roman" w:cs="Times New Roman"/>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1z0">
    <w:name w:val="WW8Num101z0"/>
    <w:qFormat/>
    <w:rPr/>
  </w:style>
  <w:style w:type="character" w:styleId="WW8Num102z0">
    <w:name w:val="WW8Num102z0"/>
    <w:qFormat/>
    <w:rPr>
      <w:rFonts w:ascii="Times New Roman" w:hAnsi="Times New Roman" w:eastAsia="Times New Roman" w:cs="Times New Roman"/>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St72z0">
    <w:name w:val="WW8NumSt72z0"/>
    <w:qFormat/>
    <w:rPr>
      <w:rFonts w:ascii="Wingdings" w:hAnsi="Wingdings" w:cs="Wingdings"/>
      <w:sz w:val="36"/>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Univ-12">
    <w:name w:val="Univ-12"/>
    <w:basedOn w:val="Normal"/>
    <w:qFormat/>
    <w:pPr>
      <w:jc w:val="both"/>
    </w:pPr>
    <w:rPr>
      <w:rFonts w:ascii="Univers (E1)" w:hAnsi="Univers (E1)" w:cs="Univers (E1)"/>
      <w:sz w:val="24"/>
    </w:rPr>
  </w:style>
  <w:style w:type="paragraph" w:styleId="Univ-10">
    <w:name w:val="Univ-10"/>
    <w:basedOn w:val="Normal"/>
    <w:qFormat/>
    <w:pPr>
      <w:jc w:val="both"/>
    </w:pPr>
    <w:rPr>
      <w:rFonts w:ascii="Univers (E1)" w:hAnsi="Univers (E1)" w:cs="Univers (E1)"/>
    </w:rPr>
  </w:style>
  <w:style w:type="paragraph" w:styleId="Closed">
    <w:name w:val="Closed"/>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entury Schoolbook;Bookman Old Style" w:hAnsi="Century Schoolbook;Bookman Old Style" w:cs="Century Schoolbook;Bookman Old Style"/>
      <w:sz w:val="24"/>
    </w:rPr>
  </w:style>
  <w:style w:type="paragraph" w:styleId="Footer">
    <w:name w:val="footer"/>
    <w:basedOn w:val="Normal"/>
    <w:pPr>
      <w:tabs>
        <w:tab w:val="clear" w:pos="720"/>
        <w:tab w:val="center" w:pos="4320" w:leader="none"/>
        <w:tab w:val="right" w:pos="8640" w:leader="none"/>
      </w:tabs>
    </w:pPr>
    <w:rPr>
      <w:rFonts w:ascii="Century Schoolbook;Bookman Old Style" w:hAnsi="Century Schoolbook;Bookman Old Style" w:cs="Century Schoolbook;Bookman Old Style"/>
      <w:sz w:val="24"/>
    </w:rPr>
  </w:style>
  <w:style w:type="paragraph" w:styleId="BodyTextIndent">
    <w:name w:val="Body Text Indent"/>
    <w:basedOn w:val="Normal"/>
    <w:pPr>
      <w:ind w:hanging="0" w:start="720" w:end="0"/>
    </w:pPr>
    <w:rPr>
      <w:color w:val="000000"/>
    </w:rPr>
  </w:style>
  <w:style w:type="paragraph" w:styleId="BodyText2">
    <w:name w:val="Body Text 2"/>
    <w:basedOn w:val="Normal"/>
    <w:qFormat/>
    <w:pPr/>
    <w:rPr>
      <w:i/>
    </w:rPr>
  </w:style>
  <w:style w:type="paragraph" w:styleId="BodyText3">
    <w:name w:val="Body Text 3"/>
    <w:basedOn w:val="Normal"/>
    <w:qFormat/>
    <w:pPr>
      <w:tabs>
        <w:tab w:val="left" w:pos="720" w:leader="none"/>
      </w:tabs>
      <w:jc w:val="both"/>
    </w:pPr>
    <w:rPr>
      <w:b/>
      <w:i/>
      <w:sz w:val="24"/>
    </w:rPr>
  </w:style>
  <w:style w:type="paragraph" w:styleId="BodyTextIndent2">
    <w:name w:val="Body Text Indent 2"/>
    <w:basedOn w:val="Normal"/>
    <w:qFormat/>
    <w:pPr>
      <w:pBdr>
        <w:bottom w:val="single" w:sz="4" w:space="1" w:color="000000"/>
      </w:pBdr>
      <w:spacing w:before="120" w:after="0"/>
      <w:ind w:hanging="720" w:start="720" w:end="0"/>
      <w:jc w:val="both"/>
    </w:pPr>
    <w:rPr>
      <w:sz w:val="13"/>
      <w:lang w:val="en-CA" w:eastAsia="en-CA"/>
    </w:rPr>
  </w:style>
  <w:style w:type="paragraph" w:styleId="BlockText">
    <w:name w:val="Block Text"/>
    <w:basedOn w:val="Normal"/>
    <w:qFormat/>
    <w:pPr>
      <w:tabs>
        <w:tab w:val="clear" w:pos="720"/>
        <w:tab w:val="left" w:pos="-540" w:leader="none"/>
      </w:tabs>
      <w:suppressAutoHyphens w:val="true"/>
      <w:ind w:hanging="0" w:start="-540" w:end="-360"/>
      <w:jc w:val="both"/>
    </w:pPr>
    <w:rPr>
      <w:rFonts w:ascii="Garamond" w:hAnsi="Garamond" w:cs="Garamond"/>
    </w:rPr>
  </w:style>
  <w:style w:type="paragraph" w:styleId="DefaultText">
    <w:name w:val="Default Text"/>
    <w:basedOn w:val="Normal"/>
    <w:qFormat/>
    <w:pPr>
      <w:widowControl w:val="false"/>
      <w:spacing w:lineRule="exact" w:line="240" w:before="0" w:after="120"/>
      <w:ind w:hanging="0" w:start="1200" w:end="0"/>
    </w:pPr>
    <w:rPr>
      <w:rFonts w:ascii="Gill Sans" w:hAnsi="Gill Sans" w:cs="Gill Sans"/>
      <w:sz w:val="18"/>
    </w:rPr>
  </w:style>
  <w:style w:type="paragraph" w:styleId="NormalWeb">
    <w:name w:val="Normal (Web)"/>
    <w:basedOn w:val="Normal"/>
    <w:qFormat/>
    <w:pPr>
      <w:spacing w:before="100" w:after="100"/>
    </w:pPr>
    <w:rPr>
      <w:sz w:val="24"/>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29" w:end="0"/>
    </w:pPr>
    <w:rPr>
      <w:color w:val="000000"/>
      <w:sz w:val="18"/>
    </w:rPr>
  </w:style>
  <w:style w:type="paragraph" w:styleId="ListBullet2">
    <w:name w:val="List Bullet 2"/>
    <w:basedOn w:val="Normal"/>
    <w:pPr>
      <w:ind w:hanging="360" w:start="720" w:end="0"/>
    </w:pPr>
    <w:rPr/>
  </w:style>
  <w:style w:type="paragraph" w:styleId="Date">
    <w:name w:val="Date"/>
    <w:basedOn w:val="Normal"/>
    <w:next w:val="Normal"/>
    <w:qFormat/>
    <w:pPr/>
    <w:rPr/>
  </w:style>
  <w:style w:type="paragraph" w:styleId="ListBullet21">
    <w:name w:val="List Bullet 21"/>
    <w:basedOn w:val="Normal"/>
    <w:qFormat/>
    <w:pPr>
      <w:numPr>
        <w:ilvl w:val="0"/>
        <w:numId w:val="3"/>
      </w:numPr>
    </w:pPr>
    <w:rPr/>
  </w:style>
  <w:style w:type="paragraph" w:styleId="ListBullet3">
    <w:name w:val="List Bullet 3"/>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telion.tv/" TargetMode="External"/><Relationship Id="rId4" Type="http://schemas.openxmlformats.org/officeDocument/2006/relationships/hyperlink" Target="mailto:tom.colligan@telion.tv" TargetMode="External"/><Relationship Id="rId5" Type="http://schemas.openxmlformats.org/officeDocument/2006/relationships/hyperlink" Target="mailto:rob.colorina@telion.tv"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2001-06-19T17:20:00Z</dcterms:created>
  <dc:creator>Diana Barnsley</dc:creator>
  <dc:description/>
  <dc:language>en-CA</dc:language>
  <cp:lastModifiedBy>GLORIA C. CASTILLO</cp:lastModifiedBy>
  <cp:lastPrinted>2001-04-06T22:47:00Z</cp:lastPrinted>
  <dcterms:modified xsi:type="dcterms:W3CDTF">2001-06-19T17:20:00Z</dcterms:modified>
  <cp:revision>2</cp:revision>
  <dc:subject/>
  <dc:title>                                             </dc:title>
</cp:coreProperties>
</file>