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June, 2000, by and between, TEJAS __________________, a _____________ corporation, ("</w:t>
      </w:r>
      <w:r>
        <w:rPr>
          <w:rFonts w:cs="Arial Narrow" w:ascii="Arial Narrow" w:hAnsi="Arial Narrow"/>
          <w:sz w:val="18"/>
          <w:u w:val="single"/>
        </w:rPr>
        <w:t>TEJAS</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(Tejas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TEJAS owns and operates a 16-inch pipeline and related facilities (the "</w:t>
      </w:r>
      <w:r>
        <w:rPr>
          <w:rFonts w:cs="Arial Narrow" w:ascii="Arial Narrow" w:hAnsi="Arial Narrow"/>
          <w:sz w:val="18"/>
          <w:u w:val="single"/>
        </w:rPr>
        <w:t>TEJAS Pipeline</w:t>
      </w:r>
      <w:r>
        <w:rPr>
          <w:rFonts w:cs="Arial Narrow" w:ascii="Arial Narrow" w:hAnsi="Arial Narrow"/>
          <w:sz w:val="18"/>
        </w:rPr>
        <w:t xml:space="preserve">") located in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 xml:space="preserve">WHEREAS, TEJAS and HPL desire to install, own, and operate a natural gas meter station located on the TEJAS Pipeline in </w:t>
      </w:r>
      <w:r>
        <w:rPr>
          <w:rFonts w:cs="Arial Narrow" w:ascii="Arial Narrow" w:hAnsi="Arial Narrow"/>
          <w:bCs/>
          <w:sz w:val="18"/>
        </w:rPr>
        <w:t>Rusk</w:t>
      </w:r>
      <w:r>
        <w:rPr>
          <w:rFonts w:cs="Arial Narrow" w:ascii="Arial Narrow" w:hAnsi="Arial Narrow"/>
          <w:sz w:val="18"/>
        </w:rPr>
        <w:t xml:space="preserve"> County, Texas to deliver natural gas between the TEJAS Pipeline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ultrasonic bi-directional meter, flow control valve and associated equipment, EFM/SCADA and RTU equipment, communication equipment, chromatograph over-pressure protection ("</w:t>
      </w:r>
      <w:r>
        <w:rPr>
          <w:rFonts w:cs="Arial Narrow" w:ascii="Arial Narrow" w:hAnsi="Arial Narrow"/>
          <w:sz w:val="18"/>
          <w:u w:val="single"/>
        </w:rPr>
        <w:t>OPP</w:t>
      </w:r>
      <w:r>
        <w:rPr>
          <w:rFonts w:cs="Arial Narrow" w:ascii="Arial Narrow" w:hAnsi="Arial Narrow"/>
          <w:sz w:val="18"/>
        </w:rPr>
        <w:t>"), instrumentation, and tee and side valve and approximately 1600-feet of 16-inch crossover pipelines required for the physical delivery of natural gas between HPL Pipeline and the TEJAS Pipeline (the "</w:t>
      </w:r>
      <w:r>
        <w:rPr>
          <w:rFonts w:cs="Arial Narrow" w:ascii="Arial Narrow" w:hAnsi="Arial Narrow"/>
          <w:sz w:val="18"/>
          <w:u w:val="single"/>
        </w:rPr>
        <w:t>Interconnect</w:t>
      </w:r>
      <w:r>
        <w:rPr>
          <w:rFonts w:cs="Arial Narrow" w:ascii="Arial Narrow" w:hAnsi="Arial Narrow"/>
          <w:sz w:val="18"/>
        </w:rPr>
        <w:t>").  The Interconnect shall consist of the TEJAS Facilities and the HPL Facilities, as defined below. The layout of the Interconnect between the TEJAS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valve on the 30-inch HPL Pipeline, </w:t>
      </w:r>
      <w:r>
        <w:rPr>
          <w:rFonts w:cs="Arial Narrow" w:ascii="Arial Narrow" w:hAnsi="Arial Narrow"/>
          <w:sz w:val="18"/>
        </w:rPr>
        <w:t xml:space="preserve">approximately 1600-feet of 16-inch crossover piping up to the insulating flange designated as the point of custody transfer as defined in Section 5(i) below as shown on Exhibit “A” attached, and </w:t>
      </w:r>
      <w:r>
        <w:rPr>
          <w:rFonts w:cs="Arial Narrow" w:ascii="Arial Narrow" w:hAnsi="Arial Narrow"/>
          <w:color w:val="000000"/>
          <w:sz w:val="18"/>
        </w:rPr>
        <w:t>HPL’s EFM/SCADA, chromatograph, RTU and HPL’s communication equipment and instrumentation located on the HPL Operated Facilities (hereafter defined)</w:t>
      </w:r>
      <w:r>
        <w:rPr>
          <w:rFonts w:cs="Arial Narrow" w:ascii="Arial Narrow" w:hAnsi="Arial Narrow"/>
          <w:sz w:val="18"/>
        </w:rPr>
        <w:t xml:space="preserve">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ab/>
        <w:t>(ii)</w:t>
        <w:tab/>
      </w:r>
      <w:r>
        <w:rPr>
          <w:rFonts w:cs="Arial Narrow" w:ascii="Arial Narrow" w:hAnsi="Arial Narrow"/>
          <w:sz w:val="18"/>
          <w:u w:val="single"/>
        </w:rPr>
        <w:t>TEJAS Ownership</w:t>
      </w:r>
      <w:r>
        <w:rPr>
          <w:rFonts w:cs="Arial Narrow" w:ascii="Arial Narrow" w:hAnsi="Arial Narrow"/>
          <w:sz w:val="18"/>
        </w:rPr>
        <w:t>.  TEJAS or its designee portion of the Interconnect located on TEJAS’ side of the insulating flange designated as the point of custody transfer in 5(i) below which shall include the portion (i) 12-inch ultrasonic bi-directional meter, flow control valve and associated equipment, OPP, and instrumentation (the "</w:t>
      </w:r>
      <w:r>
        <w:rPr>
          <w:rFonts w:cs="Arial Narrow" w:ascii="Arial Narrow" w:hAnsi="Arial Narrow"/>
          <w:sz w:val="18"/>
          <w:u w:val="single"/>
        </w:rPr>
        <w:t>HPL Operated Facilities</w:t>
      </w:r>
      <w:r>
        <w:rPr>
          <w:rFonts w:cs="Arial Narrow" w:ascii="Arial Narrow" w:hAnsi="Arial Narrow"/>
          <w:sz w:val="18"/>
        </w:rPr>
        <w:t>") and (ii) the tee, side valve, TEJAS’ EFM/SCADA, piping and pipe related facilities located on TEJAS’ side of the insulating flange designated as the point of custody transfer as defined in Section 5(i) below ((i) and (ii) collectively the "</w:t>
      </w:r>
      <w:r>
        <w:rPr>
          <w:rFonts w:cs="Arial Narrow" w:ascii="Arial Narrow" w:hAnsi="Arial Narrow"/>
          <w:sz w:val="18"/>
          <w:u w:val="single"/>
        </w:rPr>
        <w:t>TEJAS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except for HPL’s hot tap and valve on HPL’s Pipeline, and HPL’s EFM/SCADA, RTU, chromatograph and communication equipment, shall be designed, installed, and constructed by TEJAS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HPL shall install HPL’s hot tap, valve, chromatograph, EFM/SCADA, RTU and communication equipment. Prior to the commencement of construction, TEJAS shall submit all construction, material and equipment drawings and specifications to HPL for HPL’s approval.  HPL shall review such drawings and specifications within ten (10) days of receipt thereof.  The TEJAS Facilities shall be designed, installed and constructed by TEJAS in accordance with sound and prudent natural gas industry practice.  HPL may conduct onsite inspections of the TEJAS Facilities and HPL Facilities of the Interconnect during and after construction.  Upon request by HPL, TEJAS shall provide the following: (i) the welder’s test for buttwelds and branch welds; (ii) the fabrication and radiographic inspection; (iii) hydrostatic testing documentation; (iv) OPP documentation, as applicable; and (v) as-built drawings, purchase orders, mill reports for pipe and any other material information.  The Parties shall arrange a mutually agreeable schedule for the tie-in of the Interconnect with the HPL Pipeline and the TEJAS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TEJAS shall reimburse HPL for all direct and indirect costs associated with the installation of the HPL’s hot tap and valve, the chromatograph, EFM/SCADA, RTU and communication equipment, including IRS tax gross-up.  TEJAS shall also reimburse HPL for the IRS tax gross-up based upon the actual costs incurred for design, construction, and installation of the 1600 feet of 16-inch pipeline.  HPL shall invoice TEJAS for such costs and TEJAS shall pay such invoice within 15 days of TEJAS’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TEJAS shall obtain all clearances, permits, licenses, authorizations, easements and other land rights that may be needed for the construction, installation, maintenance, and operation of the TEJAS Facilities and the HPL Facilities.  The easements and other land rights that may be needed for the construction, installation, maintenance, and operation of the HPL Facilities and the approximately 1600 feet of 16-inch pipeline shall be obtained by TEJAS in HPL’s name.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and HPL Operated Facilities in accordance with the Standards and with sound and prudent natural gas pipeline industry practice and shall be fully responsible for the operation and maintenance thereof and for all cost, expense and risk associated therewith.  TEJAS shall operate and maintain that portion of the TEJAS Facilities, excluding the HPL Operated Facilities, in accordance with sound and prudent natural gas industry practice and shall be fully responsible for the routine operation and maintenance thereof and for all cost and expense associated therewith.  TEJAS shall be responsible for the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TEJAS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sales or transport agreements.  Operation of the HPL Facilities by HPL or its designee shall include operation of the ultrasonic meter (the "</w:t>
      </w:r>
      <w:r>
        <w:rPr>
          <w:rFonts w:cs="Arial Narrow" w:ascii="Arial Narrow" w:hAnsi="Arial Narrow"/>
          <w:sz w:val="18"/>
          <w:u w:val="single"/>
        </w:rPr>
        <w:t>Meter</w:t>
      </w:r>
      <w:r>
        <w:rPr>
          <w:rFonts w:cs="Arial Narrow" w:ascii="Arial Narrow" w:hAnsi="Arial Narrow"/>
          <w:sz w:val="18"/>
        </w:rPr>
        <w:t>") and HPL shall give TEJAS twenty-four hour operational notice to HPL prior to any testing or calibrating of the Meters.  TEJAS shall have the right to be present during testing or calibrating of the Meters;</w:t>
      </w:r>
      <w:r>
        <w:rPr>
          <w:rFonts w:cs="Arial Narrow" w:ascii="Arial Narrow" w:hAnsi="Arial Narrow"/>
        </w:rPr>
        <w:t xml:space="preserve"> </w:t>
      </w:r>
      <w:r>
        <w:rPr>
          <w:rFonts w:cs="Arial Narrow" w:ascii="Arial Narrow" w:hAnsi="Arial Narrow"/>
          <w:sz w:val="18"/>
        </w:rPr>
        <w:t xml:space="preserve">provided, if the HPL has given such notice to TEJAS and TEJAS is not present at the time specified, then HPL may proceed with the tests as though TEJAS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Heading2"/>
        <w:widowControl/>
        <w:ind w:firstLine="1440" w:end="0"/>
        <w:rPr/>
      </w:pPr>
      <w:r>
        <w:rPr>
          <w:rFonts w:cs="Arial Narrow" w:ascii="Arial Narrow" w:hAnsi="Arial Narrow"/>
          <w:sz w:val="18"/>
        </w:rPr>
        <w:t>(v)</w:t>
        <w:tab/>
      </w:r>
      <w:r>
        <w:rPr>
          <w:rFonts w:cs="Arial Narrow" w:ascii="Arial Narrow" w:hAnsi="Arial Narrow"/>
          <w:sz w:val="18"/>
          <w:u w:val="single"/>
        </w:rPr>
        <w:t>MAOP</w:t>
      </w:r>
      <w:r>
        <w:rPr>
          <w:rFonts w:cs="Arial Narrow" w:ascii="Arial Narrow" w:hAnsi="Arial Narrow"/>
          <w:sz w:val="18"/>
        </w:rPr>
        <w:t>.  HPL shall deliver the gas to the TEJAS Pipeline at pressures existing from time to time in the HPL Pipeline.  TEJAS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TEJAS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May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TEJAS:</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TEJAS________________________</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TEJAS______________</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TEJAS ______________________</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Tejas_Texoma_Interconnect_Agreement.doc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2000-04-26T22:22:00Z</dcterms:created>
  <dc:creator>ECT</dc:creator>
  <dc:description/>
  <dc:language>en-CA</dc:language>
  <cp:lastModifiedBy>egillas</cp:lastModifiedBy>
  <cp:lastPrinted>2000-06-08T15:06:00Z</cp:lastPrinted>
  <dcterms:modified xsi:type="dcterms:W3CDTF">2000-06-08T17:53:00Z</dcterms:modified>
  <cp:revision>28</cp:revision>
  <dc:subject/>
  <dc:title>Letter format</dc:title>
</cp:coreProperties>
</file>