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 xml:space="preserve">THIS AGREEMENT TO INTERCONNECT AND OPERATE NATURAL GAS PIPELINE FACILITIES ("Agreement"), is entered into and made effective this ___ day of May, 2000, by and between, Tejas __________________, a _____________ corporation, ("TEJAS"), and HOUSTON PIPE LINE COMPANY, a Delaware corporation, ("HPL").  (Tejas and HPL are sometimes referred to individually as "Party" and collectively as "Parties").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Tejas owns and operates a 16-inch pipeline and related facilities (the "</w:t>
      </w:r>
      <w:r>
        <w:rPr>
          <w:rFonts w:cs="Arial Narrow" w:ascii="Arial Narrow" w:hAnsi="Arial Narrow"/>
          <w:sz w:val="18"/>
          <w:u w:val="single"/>
        </w:rPr>
        <w:t>TEJAS Pipeline</w:t>
      </w:r>
      <w:r>
        <w:rPr>
          <w:rFonts w:cs="Arial Narrow" w:ascii="Arial Narrow" w:hAnsi="Arial Narrow"/>
          <w:sz w:val="18"/>
        </w:rPr>
        <w:t xml:space="preserve">") located in Texas; and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rPr/>
      </w:pPr>
      <w:r>
        <w:rPr>
          <w:rFonts w:cs="Arial Narrow" w:ascii="Arial Narrow" w:hAnsi="Arial Narrow"/>
          <w:sz w:val="18"/>
        </w:rPr>
        <w:tab/>
        <w:t xml:space="preserve">WHEREAS, Tejas and HPL desire to install, own, and operate a natural gas meter station located on the TEJAS Pipeline in </w:t>
      </w:r>
      <w:r>
        <w:rPr>
          <w:rFonts w:cs="Arial Narrow" w:ascii="Arial Narrow" w:hAnsi="Arial Narrow"/>
          <w:bCs/>
          <w:sz w:val="18"/>
        </w:rPr>
        <w:t>Rusk</w:t>
      </w:r>
      <w:r>
        <w:rPr>
          <w:rFonts w:cs="Arial Narrow" w:ascii="Arial Narrow" w:hAnsi="Arial Narrow"/>
          <w:sz w:val="18"/>
        </w:rPr>
        <w:t xml:space="preserve"> County, Texas to deliver natural gas between the TEJAS Pipeline and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__-inch ultrasonic bi-directional meter, flow pressure control valve and associated equipment, EFM/SCADA and RTU equipment, communication equipment, over-pressure protection ("</w:t>
      </w:r>
      <w:r>
        <w:rPr>
          <w:rFonts w:cs="Arial Narrow" w:ascii="Arial Narrow" w:hAnsi="Arial Narrow"/>
          <w:sz w:val="18"/>
          <w:u w:val="single"/>
        </w:rPr>
        <w:t>OPP</w:t>
      </w:r>
      <w:r>
        <w:rPr>
          <w:rFonts w:cs="Arial Narrow" w:ascii="Arial Narrow" w:hAnsi="Arial Narrow"/>
          <w:sz w:val="18"/>
        </w:rPr>
        <w:t>"), instrumentation, and tee and side valve and approximately 1600-feet of 16-inch crossover pipelines required for the physical delivery of natural gas between HPL Pipeline and the TEJAS Pipeline (the "</w:t>
      </w:r>
      <w:r>
        <w:rPr>
          <w:rFonts w:cs="Arial Narrow" w:ascii="Arial Narrow" w:hAnsi="Arial Narrow"/>
          <w:sz w:val="18"/>
          <w:u w:val="single"/>
        </w:rPr>
        <w:t>Interconnect</w:t>
      </w:r>
      <w:r>
        <w:rPr>
          <w:rFonts w:cs="Arial Narrow" w:ascii="Arial Narrow" w:hAnsi="Arial Narrow"/>
          <w:sz w:val="18"/>
        </w:rPr>
        <w:t>").  The Interconnect shall consist of the TEJAS Facilities and the HPL Facilities, as defined below. The layout of the Interconnect between the TEJAS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tee and side valve on the 30-inch HPL Pipeline, HPL’s EFM/SCADA, HPL’s communication equipment and instrumentation</w:t>
      </w:r>
      <w:r>
        <w:rPr>
          <w:rFonts w:cs="Arial Narrow" w:ascii="Arial Narrow" w:hAnsi="Arial Narrow"/>
          <w:sz w:val="18"/>
        </w:rPr>
        <w:t xml:space="preserve"> and a ___-inch bi-directional meter, flow pressure control valves and associated equipment, OPP, and approximately 1600-feet of 16-inch crossover piping up to the insulating flange designated as the point of custody transfer as defined in Section 5(i) below as shown on Exhibit “A”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TEJAS Ownership</w:t>
      </w:r>
      <w:r>
        <w:rPr>
          <w:rFonts w:cs="Arial Narrow" w:ascii="Arial Narrow" w:hAnsi="Arial Narrow"/>
          <w:sz w:val="18"/>
        </w:rPr>
        <w:t>.  TEJAS or its designee shall own the tee, side valve, piping and pipe related facilities located on TEJAS’ side of the insulating flange designated as the point of custody transfer as defined in Section 5(i) below (collectively the "</w:t>
      </w:r>
      <w:r>
        <w:rPr>
          <w:rFonts w:cs="Arial Narrow" w:ascii="Arial Narrow" w:hAnsi="Arial Narrow"/>
          <w:sz w:val="18"/>
          <w:u w:val="single"/>
        </w:rPr>
        <w:t>TEJAS Facilities</w:t>
      </w:r>
      <w:r>
        <w:rPr>
          <w:rFonts w:cs="Arial Narrow" w:ascii="Arial Narrow" w:hAnsi="Arial Narrow"/>
          <w:sz w:val="18"/>
        </w:rPr>
        <w:t>").</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except for HPL’s hot tap, valve, EFM/SCADA and communication equipment on HPL’s Pipeline, shall be designed, installed, and constructed by TEJAS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HPL shall install HPL’s hot tap, valve, EFM/SCADA and communication equipment. Prior to the commencement of construction, TEJAS shall submit all construction, material and equipment drawings and specifications to HPL for HPL’s approval.  HPL shall review such drawings and specifications within ten (10) days of receipt thereof.  The TEJAS Facilities shall be designed, installed and constructed by TEJAS in accordance with sound and prudent natural gas industry practice.  HPL may conduct onsite inspections of the TEJAS Facilities and HPL Facilities of the Interconnect during and after construction.  Upon request by HPL, TEJAS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TEJAS Pipeline.</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TEJAS shall reimburse HPL for all direct and indirect costs associated with the installation of the HPL’s hot tap and valve, and EFM/SCADA and communication equipment, including IRS tax gross-up.  HPL shall invoice TEJAS for such costs and TEJAS shall pay such invoice within 15 days of TEJAS’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TEJAS shall obtain all clearances, permits, licenses, authorizations, easements and other land rights that may be needed for the construction, installation, maintenance, and operation of the TEJAS Facilities and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TEJAS shall operate and maintain the TEJAS Facilities in accordance with sound and prudent natural gas industry practice and shall be fully responsible for the routine operation and maintenance thereof and for all cost and expense associated therewith.  Each party shall be responsible for its own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TEJAS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the Standards.  Operation of the HPL Facilities by HPL or its designee shall include operation of the ultrasonic meter (the "</w:t>
      </w:r>
      <w:r>
        <w:rPr>
          <w:rFonts w:cs="Arial Narrow" w:ascii="Arial Narrow" w:hAnsi="Arial Narrow"/>
          <w:sz w:val="18"/>
          <w:u w:val="single"/>
        </w:rPr>
        <w:t>Meter</w:t>
      </w:r>
      <w:r>
        <w:rPr>
          <w:rFonts w:cs="Arial Narrow" w:ascii="Arial Narrow" w:hAnsi="Arial Narrow"/>
          <w:sz w:val="18"/>
        </w:rPr>
        <w:t>") and HPL shall give TEJAS twenty-four hour operational notice to HPL prior to any testing or calibrating of the Meters.  TEJAS shall have the right to be present during testing or calibrating of the Meters;</w:t>
      </w:r>
      <w:r>
        <w:rPr>
          <w:rFonts w:cs="Arial Narrow" w:ascii="Arial Narrow" w:hAnsi="Arial Narrow"/>
        </w:rPr>
        <w:t xml:space="preserve"> </w:t>
      </w:r>
      <w:r>
        <w:rPr>
          <w:rFonts w:cs="Arial Narrow" w:ascii="Arial Narrow" w:hAnsi="Arial Narrow"/>
          <w:sz w:val="18"/>
        </w:rPr>
        <w:t xml:space="preserve">provided, if the HPL has given such notice to TEJAS and TEJAS is not present at the time specified, then HPL may proceed with the tests as though TEJAS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portion of the HPL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Facilities shall be used to ascertain the heating content of the gas stream. </w:t>
      </w:r>
    </w:p>
    <w:p>
      <w:pPr>
        <w:pStyle w:val="Normal"/>
        <w:rPr/>
      </w:pPr>
      <w:r>
        <w:rPr/>
        <w:tab/>
        <w:tab/>
      </w:r>
      <w:r>
        <w:rPr>
          <w:rFonts w:cs="Arial Narrow" w:ascii="Arial Narrow" w:hAnsi="Arial Narrow"/>
          <w:sz w:val="18"/>
        </w:rPr>
        <w:t>(v)</w:t>
        <w:tab/>
      </w:r>
      <w:r>
        <w:rPr>
          <w:rFonts w:cs="Arial Narrow" w:ascii="Arial Narrow" w:hAnsi="Arial Narrow"/>
          <w:sz w:val="18"/>
          <w:u w:val="single"/>
        </w:rPr>
        <w:t>Capacity Usage</w:t>
      </w:r>
      <w:r>
        <w:rPr>
          <w:rFonts w:cs="Arial Narrow" w:ascii="Arial Narrow" w:hAnsi="Arial Narrow"/>
          <w:sz w:val="18"/>
        </w:rPr>
        <w:t xml:space="preserve">.  HPL shall have the right at all times to use 50% of the available capacity of the Interconnect existing from time to time, which shall in no event be less than [? </w:t>
      </w:r>
      <w:r>
        <w:rPr>
          <w:rFonts w:cs="Arial Narrow" w:ascii="Arial Narrow" w:hAnsi="Arial Narrow"/>
          <w:sz w:val="18"/>
          <w:highlight w:val="yellow"/>
        </w:rPr>
        <w:t>25,000</w:t>
      </w:r>
      <w:r>
        <w:rPr>
          <w:rFonts w:cs="Arial Narrow" w:ascii="Arial Narrow" w:hAnsi="Arial Narrow"/>
          <w:sz w:val="18"/>
        </w:rPr>
        <w:t>?]  mmbtu per day.  [</w:t>
      </w:r>
      <w:r>
        <w:rPr>
          <w:rFonts w:cs="Arial Narrow" w:ascii="Arial Narrow" w:hAnsi="Arial Narrow"/>
          <w:sz w:val="18"/>
          <w:highlight w:val="yellow"/>
        </w:rPr>
        <w:t>HPL shall operate and accept nominations through the Interconnect in accordance with this Section 5(iv)</w:t>
      </w:r>
      <w:r>
        <w:rPr>
          <w:rFonts w:cs="Arial Narrow" w:ascii="Arial Narrow" w:hAnsi="Arial Narrow"/>
          <w:sz w:val="18"/>
        </w:rPr>
        <w:t>.]</w:t>
      </w:r>
    </w:p>
    <w:p>
      <w:pPr>
        <w:pStyle w:val="Normal"/>
        <w:rPr/>
      </w:pPr>
      <w:r>
        <w:rPr/>
      </w:r>
    </w:p>
    <w:p>
      <w:pPr>
        <w:pStyle w:val="Heading2"/>
        <w:widowControl/>
        <w:rPr/>
      </w:pPr>
      <w:r>
        <w:rPr>
          <w:rFonts w:cs="Arial Narrow" w:ascii="Arial Narrow" w:hAnsi="Arial Narrow"/>
          <w:sz w:val="18"/>
        </w:rPr>
        <w:tab/>
        <w:t>(vi)</w:t>
        <w:tab/>
      </w:r>
      <w:r>
        <w:rPr>
          <w:rFonts w:cs="Arial Narrow" w:ascii="Arial Narrow" w:hAnsi="Arial Narrow"/>
          <w:sz w:val="18"/>
          <w:u w:val="single"/>
        </w:rPr>
        <w:t>MAOP</w:t>
      </w:r>
      <w:r>
        <w:rPr>
          <w:rFonts w:cs="Arial Narrow" w:ascii="Arial Narrow" w:hAnsi="Arial Narrow"/>
          <w:sz w:val="18"/>
        </w:rPr>
        <w:t>.  HPL shall deliver the gas to the TEJAS Pipeline at pressures existing from time to time in the HPL Pipeline.  TEJAS shall deliver gas to the HPL Facilities at pressure sufficient to effectuate deliveries at pressures existing in the HPL Pipeline from time to time, which shall in no event exceed the maximum allowable operating pressure (“</w:t>
      </w:r>
      <w:r>
        <w:rPr>
          <w:rFonts w:cs="Arial Narrow" w:ascii="Arial Narrow" w:hAnsi="Arial Narrow"/>
          <w:sz w:val="18"/>
          <w:u w:val="single"/>
        </w:rPr>
        <w:t>MAOP</w:t>
      </w:r>
      <w:r>
        <w:rPr>
          <w:rFonts w:cs="Arial Narrow" w:ascii="Arial Narrow" w:hAnsi="Arial Narrow"/>
          <w:sz w:val="18"/>
        </w:rPr>
        <w:t xml:space="preserve">”) of the HPL Pipeline. </w:t>
      </w:r>
    </w:p>
    <w:p>
      <w:pPr>
        <w:pStyle w:val="Heading2"/>
        <w:widowControl/>
        <w:rPr/>
      </w:pPr>
      <w:r>
        <w:rPr>
          <w:rFonts w:cs="Arial Narrow" w:ascii="Arial Narrow" w:hAnsi="Arial Narrow"/>
          <w:sz w:val="18"/>
        </w:rPr>
        <w:tab/>
        <w:t>(vii)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TEJAS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rFonts w:ascii="Arial Narrow" w:hAnsi="Arial Narrow" w:cs="Arial Narrow"/>
          <w:sz w:val="18"/>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This Agreement shall be effective as of the date first above written and shall remain in full force and effect through May 31, 2010 and from month to month thereafter until terminated by either party upon not less than ten (10) days' prior written notice to the other party.</w:t>
      </w:r>
      <w:r>
        <w:rPr>
          <w:rFonts w:cs="Arial" w:ascii="Arial" w:hAnsi="Arial"/>
          <w:sz w:val="20"/>
        </w:rPr>
        <w:t xml:space="preserve">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TEJAS:</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TEJAS________________________</w:t>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 _________</w:t>
      </w:r>
    </w:p>
    <w:p>
      <w:pPr>
        <w:pStyle w:val="Normal"/>
        <w:widowControl/>
        <w:rPr>
          <w:rFonts w:ascii="Arial Narrow" w:hAnsi="Arial Narrow" w:cs="Arial Narrow"/>
          <w:sz w:val="18"/>
        </w:rPr>
      </w:pPr>
      <w:r>
        <w:rPr>
          <w:rFonts w:cs="Arial Narrow" w:ascii="Arial Narrow" w:hAnsi="Arial Narrow"/>
          <w:sz w:val="18"/>
        </w:rPr>
        <w:t>Facsimile Number:  (713) 646-8416</w:t>
        <w:tab/>
        <w:t>Phone Number: (___) 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TEJAS______________</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 _________</w:t>
      </w:r>
    </w:p>
    <w:p>
      <w:pPr>
        <w:pStyle w:val="Normal"/>
        <w:widowControl/>
        <w:rPr>
          <w:rFonts w:ascii="Arial Narrow" w:hAnsi="Arial Narrow" w:cs="Arial Narrow"/>
          <w:sz w:val="18"/>
        </w:rPr>
      </w:pPr>
      <w:r>
        <w:rPr>
          <w:rFonts w:cs="Arial Narrow" w:ascii="Arial Narrow" w:hAnsi="Arial Narrow"/>
          <w:sz w:val="18"/>
        </w:rPr>
        <w:tab/>
        <w:tab/>
        <w:tab/>
        <w:tab/>
        <w:t>Phone Number: (___) ____________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w:t>
      </w:r>
      <w:r>
        <w:rPr>
          <w:rFonts w:cs="Arial Narrow" w:ascii="Arial Narrow" w:hAnsi="Arial Narrow"/>
          <w:sz w:val="18"/>
          <w:u w:val="single"/>
        </w:rPr>
        <w:t>Body of the Agreement</w:t>
      </w:r>
      <w:r>
        <w:rPr>
          <w:rFonts w:cs="Arial Narrow" w:ascii="Arial Narrow" w:hAnsi="Arial Narrow"/>
          <w:sz w:val="18"/>
        </w:rPr>
        <w: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TEJAS ______________________</w:t>
        <w:tab/>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Tejas_Texoma_Interconnect_Agreement-31f21b80929296c3c4f6a76376bd277b9b5731b641f9a66bb2a5452580cc8808.doc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DRAFT</w:t>
    </w:r>
    <w:r>
      <w:rPr/>
      <w:t xml:space="preserve">, </w:t>
    </w:r>
    <w:r>
      <w:rPr>
        <w:i/>
        <w:iCs/>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2000-04-26T22:22:00Z</dcterms:created>
  <dc:creator>ECT</dc:creator>
  <dc:description/>
  <dc:language>en-CA</dc:language>
  <cp:lastModifiedBy>egillas</cp:lastModifiedBy>
  <cp:lastPrinted>2000-05-18T09:34:00Z</cp:lastPrinted>
  <dcterms:modified xsi:type="dcterms:W3CDTF">2000-05-18T13:57:00Z</dcterms:modified>
  <cp:revision>16</cp:revision>
  <dc:subject/>
  <dc:title>Letter format</dc:title>
</cp:coreProperties>
</file>