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Valuation of Short-term Fuel Switching Technologies</w:t>
      </w:r>
    </w:p>
    <w:p>
      <w:pPr>
        <w:pStyle w:val="Subtitle"/>
        <w:jc w:val="end"/>
        <w:rPr>
          <w:b w:val="false"/>
        </w:rPr>
      </w:pPr>
      <w:r>
        <w:rPr>
          <w:b w:val="false"/>
        </w:rPr>
        <w:t>Praveen Mellacheruvu</w:t>
      </w:r>
    </w:p>
    <w:p>
      <w:pPr>
        <w:pStyle w:val="Heading1"/>
        <w:ind w:hanging="0" w:start="0"/>
        <w:jc w:val="end"/>
        <w:rPr>
          <w:b w:val="false"/>
        </w:rPr>
      </w:pPr>
      <w:r>
        <w:rPr>
          <w:b w:val="false"/>
        </w:rPr>
        <w:t>Osman Sezgen</w:t>
      </w:r>
    </w:p>
    <w:p>
      <w:pPr>
        <w:pStyle w:val="Heading3"/>
        <w:ind w:hanging="0" w:start="0"/>
        <w:rPr/>
      </w:pPr>
      <w:r>
        <w:rPr/>
      </w:r>
    </w:p>
    <w:p>
      <w:pPr>
        <w:pStyle w:val="Heading3"/>
        <w:ind w:hanging="0" w:start="0"/>
        <w:rPr/>
      </w:pPr>
      <w:r>
        <w:rPr/>
        <w:t>Introduction</w:t>
      </w:r>
    </w:p>
    <w:p>
      <w:pPr>
        <w:pStyle w:val="Normal"/>
        <w:rPr/>
      </w:pPr>
      <w:r>
        <w:rPr/>
      </w:r>
    </w:p>
    <w:p>
      <w:pPr>
        <w:pStyle w:val="BodyText"/>
        <w:rPr/>
      </w:pPr>
      <w:r>
        <w:rPr/>
        <w:t xml:space="preserve">Different technologies that give Enron Energy Services operational optionalities were described in the first part in this series of articles. In this article, which is second in this series, </w:t>
      </w:r>
      <w:r>
        <w:rPr>
          <w:color w:val="0000FF"/>
        </w:rPr>
        <w:t>we consider the valuation of a short-term fuel-switching configuration.</w:t>
      </w:r>
      <w:r>
        <w:rPr/>
        <w:t xml:space="preserve"> </w:t>
      </w:r>
    </w:p>
    <w:p>
      <w:pPr>
        <w:pStyle w:val="BodyText"/>
        <w:rPr/>
      </w:pPr>
      <w:r>
        <w:rPr/>
      </w:r>
    </w:p>
    <w:p>
      <w:pPr>
        <w:pStyle w:val="BodyText"/>
        <w:rPr/>
      </w:pPr>
      <w:r>
        <w:rPr/>
        <w:t xml:space="preserve">When the new Enron Building (EB2) was being designed, we considered installing a gas chiller parallel to two other electric chillers and also distributed generation in that building. For this purpose, we needed a valuation model for sizing the gas chilling capacity and the on-site generation capacity.  This article covers the methodology used in the EB2 project. This was the genesis of a series of models that we developed later for evaluating projects with short-term fuel switching optionality. </w:t>
      </w:r>
    </w:p>
    <w:p>
      <w:pPr>
        <w:pStyle w:val="BodyText"/>
        <w:rPr>
          <w:color w:val="FF0000"/>
        </w:rPr>
      </w:pPr>
      <w:r>
        <w:rPr>
          <w:color w:val="FF0000"/>
        </w:rPr>
        <w:t xml:space="preserve"> </w:t>
      </w:r>
    </w:p>
    <w:p>
      <w:pPr>
        <w:pStyle w:val="BodyText"/>
        <w:rPr>
          <w:b/>
        </w:rPr>
      </w:pPr>
      <w:r>
        <w:rPr>
          <w:b/>
        </w:rPr>
        <w:t>Methodology</w:t>
      </w:r>
    </w:p>
    <w:p>
      <w:pPr>
        <w:pStyle w:val="BodyText"/>
        <w:rPr>
          <w:b/>
        </w:rPr>
      </w:pPr>
      <w:r>
        <w:rPr>
          <w:b/>
        </w:rPr>
      </w:r>
    </w:p>
    <w:p>
      <w:pPr>
        <w:pStyle w:val="BodyText"/>
        <w:rPr/>
      </w:pPr>
      <w:r>
        <w:rPr/>
        <w:t>The diagram below describes the framework for the valuation process. The three key inputs to the model are the forward retail curves (built using ENA wholesale curves and EES retail inputs), the load profiles (describes the hourly load over 365 days of the year and hence has 8760 data points) and the technology inputs (related to the technology used in the distributed generator). In a nutshell, the valuation model can be described as a spread option between electricity (retail or wholesale) and natural gas (or any other fuel).</w:t>
      </w:r>
      <w:r>
        <w:rPr>
          <w:b/>
        </w:rPr>
        <w:t xml:space="preserve"> </w:t>
      </w:r>
      <w:r>
        <w:rPr/>
        <w:t>This option value needs to be compared to the sum of installation costs, NPV of fixed O&amp;M costs and standby charges.</w:t>
      </w:r>
    </w:p>
    <w:p>
      <w:pPr>
        <w:pStyle w:val="BodyText"/>
        <w:rPr/>
      </w:pPr>
      <w:r>
        <w:rPr/>
      </w:r>
    </w:p>
    <w:p>
      <w:pPr>
        <w:pStyle w:val="BodyText"/>
        <w:rPr>
          <w:lang w:val="en-CA" w:eastAsia="en-CA"/>
        </w:rPr>
      </w:pPr>
      <w:bookmarkStart w:id="0" w:name="_1050299427"/>
      <w:bookmarkEnd w:id="0"/>
      <w:r>
        <w:rPr>
          <w:lang w:val="en-CA" w:eastAsia="en-CA"/>
        </w:rPr>
        <w:object w:dxaOrig="8776" w:dyaOrig="499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31.75pt;height:245.8pt" filled="f" o:ole="">
            <v:imagedata r:id="rId3" o:title=""/>
          </v:shape>
          <o:OLEObject Type="Embed" ProgID="" ShapeID="ole_rId2" DrawAspect="Content" ObjectID="_1487772064" r:id="rId2"/>
        </w:object>
      </w:r>
    </w:p>
    <w:p>
      <w:pPr>
        <w:pStyle w:val="BodyText"/>
        <w:rPr>
          <w:lang w:val="en-CA" w:eastAsia="en-CA"/>
        </w:rPr>
      </w:pPr>
      <w:r>
        <w:rPr>
          <w:lang w:val="en-CA" w:eastAsia="en-CA"/>
        </w:rPr>
      </w:r>
    </w:p>
    <w:p>
      <w:pPr>
        <w:pStyle w:val="BodyText"/>
        <w:rPr>
          <w:lang w:val="en-CA" w:eastAsia="en-CA"/>
        </w:rPr>
      </w:pPr>
      <w:r>
        <w:rPr>
          <w:lang w:val="en-CA" w:eastAsia="en-CA"/>
        </w:rPr>
        <w:t>Retail Curves in EES are generated using ENA’s wholesale curves for both electricity and natural gas. Wholesale power prices and volatilities are blended with EES’ perception of transmission and distribution rates to estimate retail electricity prices and volatilites. For natural gas, appropriate basis, premium, fuel, distribution and transport adjustments are made to the NYMEX natural gas curve to arrive at a retail price and volatility.</w:t>
      </w:r>
    </w:p>
    <w:p>
      <w:pPr>
        <w:pStyle w:val="BodyText"/>
        <w:rPr>
          <w:lang w:val="en-CA" w:eastAsia="en-CA"/>
        </w:rPr>
      </w:pPr>
      <w:r>
        <w:rPr>
          <w:lang w:val="en-CA" w:eastAsia="en-CA"/>
        </w:rPr>
      </w:r>
    </w:p>
    <w:p>
      <w:pPr>
        <w:pStyle w:val="BodyText"/>
        <w:rPr>
          <w:lang w:val="en-CA" w:eastAsia="en-CA"/>
        </w:rPr>
      </w:pPr>
      <w:r>
        <w:rPr>
          <w:lang w:val="en-CA" w:eastAsia="en-CA"/>
        </w:rPr>
        <w:t>Our total building and end-use profiles are based on detailed building energy simulation models. These models utilize the hourly weather and generate hourly load profiles for the building based on building characteristics (building insulation, HVAC system type, etc.).</w:t>
      </w:r>
    </w:p>
    <w:p>
      <w:pPr>
        <w:pStyle w:val="BodyText"/>
        <w:rPr>
          <w:lang w:val="en-CA" w:eastAsia="en-CA"/>
        </w:rPr>
      </w:pPr>
      <w:r>
        <w:rPr>
          <w:lang w:val="en-CA" w:eastAsia="en-CA"/>
        </w:rPr>
      </w:r>
    </w:p>
    <w:p>
      <w:pPr>
        <w:pStyle w:val="BodyText"/>
        <w:rPr/>
      </w:pPr>
      <w:r>
        <w:rPr/>
        <w:t xml:space="preserve">Here we have two technologies (using natural </w:t>
      </w:r>
      <w:r>
        <w:rPr>
          <w:color w:val="0000FF"/>
        </w:rPr>
        <w:t>gas) that</w:t>
      </w:r>
      <w:r>
        <w:rPr/>
        <w:t xml:space="preserve"> could help in the reduction of peak load, distributed generation and gas chilling. The model allocates supply of natural gas to these technologies depending on the savings potential of these technologies. </w:t>
      </w:r>
      <w:r>
        <w:rPr>
          <w:color w:val="0000FF"/>
        </w:rPr>
        <w:t>For a given time period, the model gives preference to the technology that provides more value at that particular time (this typically depends on the heat rate).</w:t>
      </w:r>
    </w:p>
    <w:p>
      <w:pPr>
        <w:pStyle w:val="BodyText"/>
        <w:rPr>
          <w:color w:val="0000FF"/>
        </w:rPr>
      </w:pPr>
      <w:r>
        <w:rPr>
          <w:color w:val="0000FF"/>
        </w:rPr>
      </w:r>
    </w:p>
    <w:p>
      <w:pPr>
        <w:pStyle w:val="BodyText"/>
        <w:rPr/>
      </w:pPr>
      <w:r>
        <w:rPr/>
        <w:t>At any particular time in the day, for a particular customer site, we would have a total load, which can be dis-aggregated into different end-uses. Since chilling is one of the end-uses, the chilling end-use load profile along with the total load profile becomes an input to this valuation.</w:t>
      </w:r>
    </w:p>
    <w:p>
      <w:pPr>
        <w:pStyle w:val="BodyText"/>
        <w:rPr/>
      </w:pPr>
      <w:r>
        <w:rPr/>
      </w:r>
    </w:p>
    <w:p>
      <w:pPr>
        <w:pStyle w:val="BodyText"/>
        <w:rPr>
          <w:color w:val="0000FF"/>
        </w:rPr>
      </w:pPr>
      <w:r>
        <w:rPr>
          <w:color w:val="0000FF"/>
        </w:rPr>
        <w:t>Hence if distributed generation provides the most savings, the distributed generation set would supply the total load, or load up to its capacity if the load is lower than the capacity. However, if the gas chiller provides more efficiency, the gas chiller would be operating at the total chilling load or at its total capacity depending on which is lower and the distributed generation set would be used to satisfy the rest of the demand. Hence two stages of optionality can be observed. The option of power from the grid or in-house generation is the first and the option of either distributed generation or gas chilling is the second.</w:t>
      </w:r>
    </w:p>
    <w:p>
      <w:pPr>
        <w:pStyle w:val="BodyText"/>
        <w:rPr>
          <w:color w:val="0000FF"/>
        </w:rPr>
      </w:pPr>
      <w:r>
        <w:rPr>
          <w:color w:val="0000FF"/>
        </w:rPr>
      </w:r>
    </w:p>
    <w:p>
      <w:pPr>
        <w:pStyle w:val="BodyText"/>
        <w:rPr>
          <w:color w:val="0000FF"/>
        </w:rPr>
      </w:pPr>
      <w:r>
        <w:rPr>
          <w:color w:val="0000FF"/>
        </w:rPr>
        <w:t>Hence if distributed generation provides the most savings, the distributed generation set would operate at its capacity or the total load whichever is lower. However, if the gas chiller provides more efficiency, it would operate at its capacity or the total chilling load whichever is lower. In this case, the distributed generation set would be used to satisfy the rest of the demand. Hence two stages of optionality can be observed. The option of power from the grid or in-house generation is the first and the option of either distributed generation or gas chilling is the second.</w:t>
      </w:r>
    </w:p>
    <w:p>
      <w:pPr>
        <w:pStyle w:val="BodyText"/>
        <w:rPr>
          <w:color w:val="0000FF"/>
        </w:rPr>
      </w:pPr>
      <w:r>
        <w:rPr>
          <w:color w:val="0000FF"/>
        </w:rPr>
      </w:r>
    </w:p>
    <w:p>
      <w:pPr>
        <w:pStyle w:val="BodyText"/>
        <w:rPr/>
      </w:pPr>
      <w:r>
        <w:rPr/>
        <w:t xml:space="preserve">We can also do a valuation where the only technology is DG and it is used to provide electricity to the customer facility when the power from DG is cheaper than the power from the grid. </w:t>
      </w:r>
    </w:p>
    <w:p>
      <w:pPr>
        <w:pStyle w:val="BodyText"/>
        <w:rPr/>
      </w:pPr>
      <w:r>
        <w:rPr/>
      </w:r>
    </w:p>
    <w:p>
      <w:pPr>
        <w:pStyle w:val="Heading3"/>
        <w:ind w:hanging="0" w:start="0"/>
        <w:rPr/>
      </w:pPr>
      <w:r>
        <w:rPr/>
        <w:t>Conclusion</w:t>
      </w:r>
    </w:p>
    <w:p>
      <w:pPr>
        <w:pStyle w:val="Normal"/>
        <w:rPr/>
      </w:pPr>
      <w:r>
        <w:rPr/>
      </w:r>
    </w:p>
    <w:p>
      <w:pPr>
        <w:pStyle w:val="BodyText2"/>
        <w:jc w:val="both"/>
        <w:rPr/>
      </w:pPr>
      <w:r>
        <w:rPr/>
        <w:t xml:space="preserve">We have outlined above a methodology for valuing a short-term fuel switching configuration.  The model has been expanded to evaluate DG opportunities in 21 cities, covering every NERC region in the country, for 5 different commercial building types (Hotel, Large Retail, Large Office, College and Hospital) on a day-to-day basis.  </w:t>
      </w:r>
      <w:r>
        <w:rPr>
          <w:color w:val="0000FF"/>
        </w:rPr>
        <w:t>The model can be easily extended to cover situations where power can be sold back to the grid and/or heat is reclaimed for other end-uses in the building like hot water and heating.</w:t>
      </w:r>
    </w:p>
    <w:p>
      <w:pPr>
        <w:pStyle w:val="BodyText2"/>
        <w:jc w:val="both"/>
        <w:rPr/>
      </w:pPr>
      <w:r>
        <w:rPr/>
      </w:r>
    </w:p>
    <w:p>
      <w:pPr>
        <w:pStyle w:val="BodyText2"/>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3">
    <w:name w:val="heading 3"/>
    <w:basedOn w:val="Normal"/>
    <w:next w:val="Normal"/>
    <w:qFormat/>
    <w:pPr>
      <w:keepNext w:val="true"/>
      <w:numPr>
        <w:ilvl w:val="2"/>
        <w:numId w:val="1"/>
      </w:numPr>
      <w:jc w:val="both"/>
      <w:outlineLvl w:val="2"/>
    </w:pPr>
    <w:rPr>
      <w:b/>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color w:val="000000"/>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 w:type="paragraph" w:styleId="BodyText2">
    <w:name w:val="Body Text 2"/>
    <w:basedOn w:val="Normal"/>
    <w:qFormat/>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2001-05-04T18:53:00Z</dcterms:created>
  <dc:creator>pmellach</dc:creator>
  <dc:description/>
  <dc:language>en-CA</dc:language>
  <cp:lastModifiedBy>PV Krishnarao</cp:lastModifiedBy>
  <dcterms:modified xsi:type="dcterms:W3CDTF">2001-05-04T19:17:00Z</dcterms:modified>
  <cp:revision>3</cp:revision>
  <dc:subject/>
  <dc:title>Determination of Attractiveness of Distributed Generation for </dc:title>
</cp:coreProperties>
</file>