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media/image2.wmf" ContentType="image/x-wmf"/>
  <Override PartName="/word/styles.xml" ContentType="application/vnd.openxmlformats-officedocument.wordprocessingml.styles+xml"/>
  <Override PartName="/word/embeddings/oleObject1.xlsx" ContentType="application/vnd.openxmlformats-officedocument.spreadsheetml.shee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 xml:space="preserve"> </w:t>
      </w:r>
      <w:r>
        <w:rPr>
          <w:sz w:val="24"/>
        </w:rPr>
        <w:t>Affidavit of G. Alan Comnes</w:t>
      </w:r>
    </w:p>
    <w:p>
      <w:pPr>
        <w:pStyle w:val="Normal"/>
        <w:rPr>
          <w:sz w:val="24"/>
        </w:rPr>
      </w:pPr>
      <w:r>
        <w:rPr>
          <w:sz w:val="24"/>
        </w:rPr>
      </w:r>
    </w:p>
    <w:p>
      <w:pPr>
        <w:pStyle w:val="Normal"/>
        <w:tabs>
          <w:tab w:val="left" w:pos="720" w:leader="none"/>
        </w:tabs>
        <w:spacing w:lineRule="auto" w:line="360"/>
        <w:ind w:hanging="720" w:start="720" w:end="0"/>
        <w:rPr>
          <w:b/>
          <w:sz w:val="24"/>
        </w:rPr>
      </w:pPr>
      <w:r>
        <w:rPr>
          <w:b/>
          <w:sz w:val="24"/>
        </w:rPr>
        <w:t>Q.</w:t>
        <w:tab/>
        <w:t>Please state your name, affiliation, and address.</w:t>
      </w:r>
    </w:p>
    <w:p>
      <w:pPr>
        <w:pStyle w:val="Normal"/>
        <w:tabs>
          <w:tab w:val="left" w:pos="720" w:leader="none"/>
        </w:tabs>
        <w:spacing w:lineRule="auto" w:line="360"/>
        <w:ind w:hanging="720" w:start="720" w:end="0"/>
        <w:rPr>
          <w:sz w:val="24"/>
        </w:rPr>
      </w:pPr>
      <w:r>
        <w:rPr>
          <w:sz w:val="24"/>
        </w:rPr>
        <w:t>A.</w:t>
        <w:tab/>
        <w:t>I am G. Alan Comnes, Director, Government Affairs for Enron Corp.  My address is 121 SW Salmon 3WTC0306, Portland, Oregon 97204.</w:t>
      </w:r>
    </w:p>
    <w:p>
      <w:pPr>
        <w:pStyle w:val="Normal"/>
        <w:spacing w:lineRule="auto" w:line="360"/>
        <w:ind w:hanging="720" w:start="720" w:end="0"/>
        <w:rPr>
          <w:sz w:val="24"/>
        </w:rPr>
      </w:pPr>
      <w:r>
        <w:rPr>
          <w:sz w:val="24"/>
        </w:rPr>
      </w:r>
    </w:p>
    <w:p>
      <w:pPr>
        <w:pStyle w:val="Normal"/>
        <w:tabs>
          <w:tab w:val="left" w:pos="720" w:leader="none"/>
        </w:tabs>
        <w:spacing w:lineRule="auto" w:line="360"/>
        <w:ind w:hanging="720" w:start="720" w:end="0"/>
        <w:rPr>
          <w:b/>
          <w:sz w:val="24"/>
        </w:rPr>
      </w:pPr>
      <w:r>
        <w:rPr>
          <w:b/>
          <w:sz w:val="24"/>
        </w:rPr>
        <w:t>Q.</w:t>
        <w:tab/>
        <w:t xml:space="preserve">Please describe your education and professional experience. </w:t>
      </w:r>
    </w:p>
    <w:p>
      <w:pPr>
        <w:pStyle w:val="Normal"/>
        <w:spacing w:lineRule="auto" w:line="360"/>
        <w:ind w:hanging="720" w:start="720" w:end="0"/>
        <w:jc w:val="both"/>
        <w:rPr>
          <w:sz w:val="24"/>
        </w:rPr>
      </w:pPr>
      <w:r>
        <w:rPr>
          <w:sz w:val="24"/>
        </w:rPr>
        <w:t>A.</w:t>
        <w:tab/>
        <w:t xml:space="preserve">I  have a B.S. in Science, Technology, and Society from Stanford University and a M.A. in  Energy and Resources from the  University of California at Berkeley.  From 1987-1992 I was a regulatory analyst at the California Public Utilities Commission (CPUC). There I sponsored testimony on the topics of electric revenue allocation, natural gas rate design, marginal cost estimation, and fuel price forecasting.  I also worked in the CPUC’s Strategic Planning Division where I developed CPUC policies on transmission access and on proposed utility mergers.  From 1993-1995, I was a Scientific/Engineering Associate at the Ernest Orlando Lawrence Berkeley National Laboratory, where I conducted research on the topics of wholesale electric power markets, incentive regulation, and demand side management.  From January 1996 through October 2000, I was an analysts for the consulting firm of  MRW &amp; Associates, Inc. As part of my consulting practice, I have analyzed FERC-approved transmission and ISO tariffs, proposals for market-based rate authority, generation project development proposals, proposed utility mergers, and retail energy utility rate unbundling proposals.   I assumed my present position at Enron November 2000.  </w:t>
      </w:r>
    </w:p>
    <w:p>
      <w:pPr>
        <w:pStyle w:val="Normal"/>
        <w:rPr>
          <w:sz w:val="24"/>
        </w:rPr>
      </w:pPr>
      <w:r>
        <w:rPr>
          <w:sz w:val="24"/>
        </w:rPr>
      </w:r>
    </w:p>
    <w:p>
      <w:pPr>
        <w:pStyle w:val="Normal"/>
        <w:rPr>
          <w:sz w:val="24"/>
        </w:rPr>
      </w:pPr>
      <w:r>
        <w:rPr>
          <w:sz w:val="24"/>
        </w:rPr>
      </w:r>
    </w:p>
    <w:p>
      <w:pPr>
        <w:pStyle w:val="BodyText2"/>
        <w:rPr/>
      </w:pPr>
      <w:r>
        <w:rPr>
          <w:rPrChange w:id="0" w:author="Unknown Author" w:date="0-00-00T00:00:00Z"/>
        </w:rPr>
        <w:t>Q.</w:t>
        <w:tab/>
        <w:t>Do you agree with the statement that market power is equal to prices above accounting variable cost</w:t>
      </w:r>
      <w:r>
        <w:rPr>
          <w:rPrChange w:id="0" w:author="Unknown Author" w:date="2000-11-20T12:15:00Z"/>
        </w:rPr>
        <w:t>?</w:t>
        <w:rPrChange w:id="0" w:author="Unknown Author" w:date="0-00-00T00:00:00Z"/>
      </w:r>
    </w:p>
    <w:p>
      <w:pPr>
        <w:pStyle w:val="Normal"/>
        <w:rPr>
          <w:b/>
          <w:sz w:val="24"/>
        </w:rPr>
      </w:pPr>
      <w:r>
        <w:rPr>
          <w:b/>
          <w:sz w:val="24"/>
        </w:rPr>
      </w:r>
    </w:p>
    <w:p>
      <w:pPr>
        <w:pStyle w:val="Normal"/>
        <w:rPr/>
      </w:pPr>
      <w:r>
        <w:rPr>
          <w:b/>
          <w:sz w:val="24"/>
        </w:rPr>
        <w:t>A.</w:t>
        <w:tab/>
      </w:r>
      <w:r>
        <w:rPr>
          <w:sz w:val="24"/>
        </w:rPr>
        <w:t>No.</w:t>
      </w:r>
      <w:r>
        <w:rPr>
          <w:b/>
          <w:sz w:val="24"/>
        </w:rPr>
        <w:t xml:space="preserve"> </w:t>
      </w:r>
      <w:r>
        <w:rPr>
          <w:sz w:val="24"/>
        </w:rPr>
        <w:t>In its November 1 order, the Commission states that the market structure and market rules are unjust and unreasonable.  It also states that these rules and structures may have created incentives for higher-than-competitive prices.</w:t>
      </w:r>
      <w:r>
        <w:rPr>
          <w:rStyle w:val="FootnoteCharacters"/>
          <w:rStyle w:val="FootnoteReference"/>
          <w:sz w:val="24"/>
        </w:rPr>
        <w:footnoteReference w:id="2"/>
      </w:r>
      <w:r>
        <w:rPr>
          <w:sz w:val="24"/>
        </w:rPr>
        <w:t xml:space="preserve">  In reaching these conclusions, the Order cites the staff report and in a footnote states that the “standard used to evaluate market power was bids above short-run marginal cost (SRMC).”</w:t>
      </w:r>
      <w:r>
        <w:rPr>
          <w:rStyle w:val="FootnoteCharacters"/>
          <w:rStyle w:val="FootnoteReference"/>
          <w:sz w:val="24"/>
        </w:rPr>
        <w:footnoteReference w:id="3"/>
      </w:r>
      <w:r>
        <w:rPr>
          <w:sz w:val="24"/>
        </w:rPr>
        <w:t xml:space="preserve">  The Order misquotes the Staff Report by implying that this measure of marginal cost is the only standard the staff relies upon in defining and measuring market power.  Instead, staff defines  “Market power as the ability of a seller to influence market outcomes, especially the market price for a sustained period.”  (Staff report p. 5-16).  In defining market power, staff explains that its not the existence of market power by itself which is of concern, but rather its exercise.  It also explains that high prices may sometimes result from scarcity rather than the exercise of market power.</w:t>
      </w:r>
      <w:r>
        <w:rPr>
          <w:rStyle w:val="FootnoteCharacters"/>
          <w:rStyle w:val="FootnoteReference"/>
          <w:sz w:val="24"/>
        </w:rPr>
        <w:footnoteReference w:id="4"/>
      </w:r>
      <w:r>
        <w:rPr>
          <w:sz w:val="24"/>
        </w:rPr>
        <w:t xml:space="preserve">  This important distinction is lost when the order goes straight to the mechanical definition “prices above SRMC.”   Prices above SRMC are a measure of market power </w:t>
      </w:r>
      <w:r>
        <w:rPr>
          <w:i/>
          <w:sz w:val="24"/>
        </w:rPr>
        <w:t>but only if</w:t>
      </w:r>
      <w:r>
        <w:rPr>
          <w:sz w:val="24"/>
        </w:rPr>
        <w:t xml:space="preserve"> scarcity rents or shortage costs are included in the estimate of SRMC.   As explained further below, the technical studies relied upon by staff fail to properly measure SRMC.  Conclusions regarding market power by these technical studies cannot be relied upon. </w:t>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Q.</w:t>
        <w:tab/>
        <w:t xml:space="preserve">Do you agree with the technical studies relied on in the Staff’s reports concerning proof of market power? </w:t>
      </w:r>
    </w:p>
    <w:p>
      <w:pPr>
        <w:pStyle w:val="Normal"/>
        <w:rPr>
          <w:sz w:val="24"/>
        </w:rPr>
      </w:pPr>
      <w:r>
        <w:rPr>
          <w:sz w:val="24"/>
        </w:rPr>
      </w:r>
    </w:p>
    <w:p>
      <w:pPr>
        <w:pStyle w:val="Normal"/>
        <w:rPr/>
      </w:pPr>
      <w:r>
        <w:rPr>
          <w:sz w:val="24"/>
          <w:lang w:val="en-AU"/>
        </w:rPr>
        <w:t>A.</w:t>
        <w:tab/>
        <w:t>No.  Technical studies purporting to measure market power referenced by parties in this proceeding, including staff’s report, are fundamentally flawed in a number of key respects. The problems that have been identified in these studies range from conceptually unsupportable bidding and pricing models to serious questions about the validity of the data that has been used.</w:t>
      </w:r>
      <w:r>
        <w:rPr>
          <w:rStyle w:val="FootnoteCharacters"/>
          <w:rStyle w:val="FootnoteReference"/>
          <w:sz w:val="24"/>
          <w:lang w:val="en-AU"/>
        </w:rPr>
        <w:footnoteReference w:id="5"/>
      </w:r>
      <w:r>
        <w:rPr>
          <w:sz w:val="24"/>
          <w:lang w:val="en-AU"/>
        </w:rPr>
        <w:t xml:space="preserve"> </w:t>
      </w:r>
    </w:p>
    <w:p>
      <w:pPr>
        <w:pStyle w:val="Normal"/>
        <w:rPr>
          <w:sz w:val="24"/>
          <w:lang w:val="en-AU"/>
        </w:rPr>
      </w:pPr>
      <w:r>
        <w:rPr>
          <w:sz w:val="24"/>
          <w:lang w:val="en-AU"/>
        </w:rPr>
      </w:r>
    </w:p>
    <w:p>
      <w:pPr>
        <w:pStyle w:val="Normal"/>
        <w:rPr>
          <w:sz w:val="24"/>
          <w:lang w:val="en-AU"/>
        </w:rPr>
      </w:pPr>
      <w:r>
        <w:rPr>
          <w:sz w:val="24"/>
          <w:lang w:val="en-AU"/>
        </w:rPr>
        <w:t xml:space="preserve">Although many of the reports state they measure SRMC, they in fact are production-cost models that simply measure variable or marginal generation operating costs.  Any analysis that measures market power as the difference between market clearing prices and bids above variable generating cost is not correct. In a competitive market, both bids and prices above marginal generating costs can emerge, specifically where there is scarcity of capacity or inputs: </w:t>
      </w:r>
    </w:p>
    <w:p>
      <w:pPr>
        <w:pStyle w:val="Normal"/>
        <w:rPr>
          <w:sz w:val="24"/>
          <w:lang w:val="en-AU"/>
        </w:rPr>
      </w:pPr>
      <w:r>
        <w:rPr>
          <w:sz w:val="24"/>
          <w:lang w:val="en-AU"/>
        </w:rPr>
      </w:r>
    </w:p>
    <w:p>
      <w:pPr>
        <w:pStyle w:val="ListBullet1"/>
        <w:numPr>
          <w:ilvl w:val="0"/>
          <w:numId w:val="12"/>
        </w:numPr>
        <w:ind w:hanging="0" w:start="0"/>
        <w:rPr>
          <w:rFonts w:ascii="Times New Roman" w:hAnsi="Times New Roman" w:cs="Times New Roman"/>
          <w:sz w:val="24"/>
          <w:lang w:val="en-AU"/>
        </w:rPr>
      </w:pPr>
      <w:r>
        <w:rPr>
          <w:rFonts w:cs="Times New Roman" w:ascii="Times New Roman" w:hAnsi="Times New Roman"/>
          <w:sz w:val="24"/>
          <w:lang w:val="en-AU"/>
        </w:rPr>
        <w:t>Scarcity rents are legitimately reflected in price outcomes when capacity is limited. The value of a given unit of output when capacity is short is not just what it costs to produce, but the social cost that would be incurred if that unit were not produced. This is the concept of scarcity rents, and it forms an integral and legitimate part of short-run marginal costs.</w:t>
      </w:r>
    </w:p>
    <w:p>
      <w:pPr>
        <w:pStyle w:val="ListBullet1"/>
        <w:numPr>
          <w:ilvl w:val="0"/>
          <w:numId w:val="12"/>
        </w:numPr>
        <w:ind w:hanging="0" w:start="0"/>
        <w:rPr>
          <w:rFonts w:ascii="Times New Roman" w:hAnsi="Times New Roman" w:cs="Times New Roman"/>
          <w:sz w:val="24"/>
          <w:lang w:val="en-AU"/>
        </w:rPr>
      </w:pPr>
      <w:r>
        <w:rPr>
          <w:rFonts w:cs="Times New Roman" w:ascii="Times New Roman" w:hAnsi="Times New Roman"/>
          <w:sz w:val="24"/>
          <w:lang w:val="en-AU"/>
        </w:rPr>
        <w:t>Opportunity costs must also be considered in an analysis of market bids and prices. As noted in the Staff Report, generating capacity was scarce throughout the West this past summer, and on many peak days, prices at Mid-Columbia or Four Corners was as high or higher than market prices in California.</w:t>
      </w:r>
      <w:r>
        <w:rPr>
          <w:rStyle w:val="FootnoteCharacters"/>
          <w:rStyle w:val="FootnoteReference"/>
          <w:rFonts w:cs="Times New Roman" w:ascii="Times New Roman" w:hAnsi="Times New Roman"/>
          <w:sz w:val="24"/>
          <w:lang w:val="en-AU"/>
        </w:rPr>
        <w:footnoteReference w:id="6"/>
      </w:r>
      <w:r>
        <w:rPr>
          <w:rFonts w:cs="Times New Roman" w:ascii="Times New Roman" w:hAnsi="Times New Roman"/>
          <w:sz w:val="24"/>
          <w:lang w:val="en-AU"/>
        </w:rPr>
        <w:t xml:space="preserve">  Opportunity costs are also an important factor for energy-limited units, who must select the limited number of hours when they can run, and will rightfully seek to do so in highest value hours.  Because of the Order’s proposal to go to a “pay as bid” scheme and require documentation of costs, the ability to measure opportunity cost will become critical.  Further discussion of measuring opportunity cost is contained below.</w:t>
      </w:r>
    </w:p>
    <w:p>
      <w:pPr>
        <w:pStyle w:val="ListBullet1"/>
        <w:numPr>
          <w:ilvl w:val="0"/>
          <w:numId w:val="12"/>
        </w:numPr>
        <w:ind w:hanging="0" w:start="0"/>
        <w:rPr>
          <w:rFonts w:ascii="Times New Roman" w:hAnsi="Times New Roman" w:cs="Times New Roman"/>
          <w:i/>
          <w:i/>
          <w:sz w:val="24"/>
        </w:rPr>
      </w:pPr>
      <w:r>
        <w:rPr>
          <w:rFonts w:cs="Times New Roman" w:ascii="Times New Roman" w:hAnsi="Times New Roman"/>
          <w:sz w:val="24"/>
          <w:lang w:val="en-AU"/>
        </w:rPr>
        <w:t>The summer of 2000 has been characterized by shortage and associated high price outcomes of key generating inputs – natural gas and emissions permits. Such cost increases will feed through into bid and market clearing prices of generated power. These costs can vary on a daily or hourly basis.  Reports that attempt to measure such costs use monthly averages and therefore inaccurately measure the cost of these inputs.</w:t>
      </w:r>
    </w:p>
    <w:p>
      <w:pPr>
        <w:pStyle w:val="4SubPara"/>
        <w:rPr>
          <w:rFonts w:ascii="Times New Roman" w:hAnsi="Times New Roman" w:cs="Times New Roman"/>
          <w:sz w:val="24"/>
        </w:rPr>
      </w:pPr>
      <w:r>
        <w:rPr>
          <w:rFonts w:cs="Times New Roman" w:ascii="Times New Roman" w:hAnsi="Times New Roman"/>
          <w:sz w:val="24"/>
        </w:rPr>
        <w:t>Q.</w:t>
        <w:tab/>
        <w:t>Did you also find similar flaws in the California ISO’s Market Surveillance Committee (MSC) report cited in the Staff Report?</w:t>
      </w:r>
    </w:p>
    <w:p>
      <w:pPr>
        <w:pStyle w:val="Normal"/>
        <w:numPr>
          <w:ilvl w:val="0"/>
          <w:numId w:val="2"/>
        </w:numPr>
        <w:rPr>
          <w:sz w:val="24"/>
        </w:rPr>
      </w:pPr>
      <w:r>
        <w:rPr>
          <w:sz w:val="24"/>
        </w:rPr>
        <w:t>Yes, this report is seriously flawed. The staff’s report assumed, and the Commission’s Order relied on, numerical studies prepared by the Market Surveillance Committee (‘MSC’) of the California ISO.  The MSC, in turn relied upon the analysis of the modeling analysis conducted by Borenstein, Bushnell and Wolak.</w:t>
      </w:r>
      <w:r>
        <w:rPr>
          <w:rStyle w:val="FootnoteCharacters"/>
          <w:rStyle w:val="FootnoteReference"/>
          <w:sz w:val="24"/>
        </w:rPr>
        <w:footnoteReference w:id="7"/>
      </w:r>
      <w:r>
        <w:rPr>
          <w:sz w:val="24"/>
        </w:rPr>
        <w:t xml:space="preserve">   The MSC has concluded that generators in the California market have historically exerted market power.</w:t>
      </w:r>
      <w:r>
        <w:rPr>
          <w:rStyle w:val="FootnoteCharacters"/>
          <w:rStyle w:val="FootnoteReference"/>
          <w:sz w:val="24"/>
        </w:rPr>
        <w:footnoteReference w:id="8"/>
      </w:r>
      <w:r>
        <w:rPr>
          <w:sz w:val="24"/>
        </w:rPr>
        <w:t xml:space="preserve"> The MSC’s analysis was based on the comparison of market simulations of competitive prices with observed price outcomes in the California market. </w:t>
      </w:r>
    </w:p>
    <w:p>
      <w:pPr>
        <w:pStyle w:val="Normal"/>
        <w:rPr>
          <w:sz w:val="24"/>
        </w:rPr>
      </w:pPr>
      <w:r>
        <w:rPr>
          <w:sz w:val="24"/>
        </w:rPr>
      </w:r>
    </w:p>
    <w:p>
      <w:pPr>
        <w:pStyle w:val="Normal"/>
        <w:rPr/>
      </w:pPr>
      <w:r>
        <w:rPr>
          <w:sz w:val="24"/>
        </w:rPr>
        <w:t>From a conceptual point of view, the MSC analysis fails to reflect the sequential nature of the California energy and ancillary services market and hence, the effect of opportunity costs on legitimate bidding and pricing behavior in the day-ahead market.</w:t>
      </w:r>
      <w:r>
        <w:rPr>
          <w:rStyle w:val="FootnoteCharacters"/>
          <w:rStyle w:val="FootnoteReference"/>
          <w:sz w:val="24"/>
        </w:rPr>
        <w:footnoteReference w:id="9"/>
      </w:r>
      <w:r>
        <w:rPr>
          <w:sz w:val="24"/>
        </w:rPr>
        <w:t xml:space="preserve">  The MSC relied on a number of incorrect assumptions that materially affect the outcome of its analysis including the following: </w:t>
      </w:r>
    </w:p>
    <w:p>
      <w:pPr>
        <w:pStyle w:val="Normal"/>
        <w:rPr>
          <w:sz w:val="24"/>
        </w:rPr>
      </w:pPr>
      <w:r>
        <w:rPr>
          <w:sz w:val="24"/>
        </w:rPr>
      </w:r>
    </w:p>
    <w:p>
      <w:pPr>
        <w:pStyle w:val="ListBullet1"/>
        <w:numPr>
          <w:ilvl w:val="0"/>
          <w:numId w:val="12"/>
        </w:numPr>
        <w:ind w:hanging="0" w:start="0"/>
        <w:rPr>
          <w:rFonts w:ascii="Times New Roman" w:hAnsi="Times New Roman" w:cs="Times New Roman"/>
          <w:sz w:val="24"/>
        </w:rPr>
      </w:pPr>
      <w:r>
        <w:rPr>
          <w:rFonts w:cs="Times New Roman" w:ascii="Times New Roman" w:hAnsi="Times New Roman"/>
          <w:sz w:val="24"/>
        </w:rPr>
        <w:t xml:space="preserve">During the summer 2000, the California system could be operated without any reserves. </w:t>
      </w:r>
    </w:p>
    <w:p>
      <w:pPr>
        <w:pStyle w:val="ListBullet1"/>
        <w:numPr>
          <w:ilvl w:val="0"/>
          <w:numId w:val="12"/>
        </w:numPr>
        <w:ind w:hanging="0" w:start="0"/>
        <w:rPr>
          <w:rFonts w:ascii="Times New Roman" w:hAnsi="Times New Roman" w:cs="Times New Roman"/>
          <w:sz w:val="24"/>
        </w:rPr>
      </w:pPr>
      <w:r>
        <w:rPr>
          <w:rFonts w:cs="Times New Roman" w:ascii="Times New Roman" w:hAnsi="Times New Roman"/>
          <w:sz w:val="24"/>
        </w:rPr>
        <w:t xml:space="preserve">There was no transmission congestion affecting the dispatch of California generators. </w:t>
      </w:r>
    </w:p>
    <w:p>
      <w:pPr>
        <w:pStyle w:val="ListBullet1"/>
        <w:numPr>
          <w:ilvl w:val="0"/>
          <w:numId w:val="12"/>
        </w:numPr>
        <w:ind w:hanging="0" w:start="0"/>
        <w:rPr>
          <w:rFonts w:ascii="Times New Roman" w:hAnsi="Times New Roman" w:cs="Times New Roman"/>
          <w:sz w:val="24"/>
        </w:rPr>
      </w:pPr>
      <w:r>
        <w:rPr>
          <w:rFonts w:cs="Times New Roman" w:ascii="Times New Roman" w:hAnsi="Times New Roman"/>
          <w:sz w:val="24"/>
        </w:rPr>
        <w:t xml:space="preserve">generation did not need to recover start-up costs in independent hourly markets with a one-part bidding approach. </w:t>
      </w:r>
    </w:p>
    <w:p>
      <w:pPr>
        <w:pStyle w:val="ListBullet1"/>
        <w:numPr>
          <w:ilvl w:val="0"/>
          <w:numId w:val="12"/>
        </w:numPr>
        <w:ind w:hanging="0" w:start="0"/>
        <w:rPr>
          <w:rFonts w:ascii="Times New Roman" w:hAnsi="Times New Roman" w:cs="Times New Roman"/>
          <w:sz w:val="24"/>
        </w:rPr>
      </w:pPr>
      <w:r>
        <w:rPr>
          <w:rFonts w:cs="Times New Roman" w:ascii="Times New Roman" w:hAnsi="Times New Roman"/>
          <w:sz w:val="24"/>
        </w:rPr>
        <w:t>A number of data issues, including the failure to adjust for scheduled outages, the effects of emissions allowance costs or operating constraints and poor fuel price data.</w:t>
      </w:r>
      <w:r>
        <w:rPr>
          <w:rStyle w:val="FootnoteCharacters"/>
          <w:rStyle w:val="FootnoteReference"/>
          <w:sz w:val="24"/>
        </w:rPr>
        <w:footnoteReference w:id="10"/>
      </w:r>
    </w:p>
    <w:p>
      <w:pPr>
        <w:pStyle w:val="Normal"/>
        <w:rPr>
          <w:sz w:val="24"/>
        </w:rPr>
      </w:pPr>
      <w:r>
        <w:rPr>
          <w:sz w:val="24"/>
        </w:rPr>
        <w:t>In summary, it is evident that the modeling analysis relied upon by the MSC is so flawed that it cannot be relied upon by the Commission in making any conclusions with regards to such important considerations as removing market based rate authority. Such a simplified and limited model would not be credible to any sophisticated market participant for making any commercial decision for investment or trading – due to the many limitations outlined above.  If the Commission wishes to rely on any modeling analysis for any such market power determination it will have to find a new source, as what has been done to date is simply incomplete.  Rather than continue forensic research, the better approach will be to focus on long-term improvements to market structure and the availability of resources, which will bring competitive benefits in the most rapid manner.</w:t>
      </w:r>
    </w:p>
    <w:p>
      <w:pPr>
        <w:pStyle w:val="Normal"/>
        <w:ind w:start="720" w:end="0"/>
        <w:rPr>
          <w:sz w:val="24"/>
        </w:rPr>
      </w:pPr>
      <w:r>
        <w:rPr>
          <w:sz w:val="24"/>
        </w:rPr>
        <w:t xml:space="preserve"> </w:t>
      </w:r>
    </w:p>
    <w:p>
      <w:pPr>
        <w:pStyle w:val="Normal"/>
        <w:ind w:start="720" w:end="0"/>
        <w:rPr>
          <w:sz w:val="24"/>
        </w:rPr>
      </w:pPr>
      <w:r>
        <w:rPr>
          <w:sz w:val="24"/>
        </w:rPr>
      </w:r>
    </w:p>
    <w:p>
      <w:pPr>
        <w:pStyle w:val="Normal"/>
        <w:numPr>
          <w:ilvl w:val="0"/>
          <w:numId w:val="11"/>
        </w:numPr>
        <w:rPr>
          <w:b/>
          <w:sz w:val="24"/>
        </w:rPr>
      </w:pPr>
      <w:r>
        <w:rPr>
          <w:b/>
          <w:sz w:val="24"/>
        </w:rPr>
        <w:t xml:space="preserve">Is there any analysis of market power that relied upon actual market performance rather than a hypothetical modeling exercise? </w:t>
      </w:r>
    </w:p>
    <w:p>
      <w:pPr>
        <w:pStyle w:val="Normal"/>
        <w:ind w:start="720" w:end="0"/>
        <w:rPr>
          <w:b/>
          <w:sz w:val="24"/>
        </w:rPr>
      </w:pPr>
      <w:r>
        <w:rPr>
          <w:b/>
          <w:sz w:val="24"/>
        </w:rPr>
      </w:r>
    </w:p>
    <w:p>
      <w:pPr>
        <w:pStyle w:val="Normal"/>
        <w:numPr>
          <w:ilvl w:val="0"/>
          <w:numId w:val="4"/>
        </w:numPr>
        <w:rPr>
          <w:sz w:val="24"/>
        </w:rPr>
      </w:pPr>
      <w:r>
        <w:rPr>
          <w:sz w:val="24"/>
        </w:rPr>
        <w:t xml:space="preserve">Yes. The California PX Compliance Unit undertook a study to examine what types of suppliers were on the margin during the Summer price run ups. Compliance Unit’s findings, based on actual market performance data, rather than the theoretical models relied upon by the ISO, paint a different picture with respect to the exercise of market power by generators. Compliance Unit found there to be many suppliers on the margin in “high” ($100/MHh or greater) price hours: </w:t>
      </w:r>
    </w:p>
    <w:p>
      <w:pPr>
        <w:pStyle w:val="Normal"/>
        <w:rPr>
          <w:sz w:val="24"/>
        </w:rPr>
      </w:pPr>
      <w:r>
        <w:rPr>
          <w:sz w:val="24"/>
        </w:rPr>
      </w:r>
    </w:p>
    <w:p>
      <w:pPr>
        <w:pStyle w:val="Normal"/>
        <w:ind w:start="1080" w:end="720"/>
        <w:rPr>
          <w:sz w:val="24"/>
        </w:rPr>
      </w:pPr>
      <w:r>
        <w:rPr>
          <w:sz w:val="24"/>
        </w:rPr>
        <w:t>“</w:t>
      </w:r>
      <w:r>
        <w:rPr>
          <w:sz w:val="24"/>
        </w:rPr>
        <w:t xml:space="preserve">On the whole, many incremental suppliers exist.  For one hour, it could be a couple of suppliers, then for another hour it becomes another pair of suppliers.  At the highest price ranges from June through September, the average number of incremental suppliers increased for the highest price range.”  </w:t>
      </w:r>
    </w:p>
    <w:p>
      <w:pPr>
        <w:pStyle w:val="Normal"/>
        <w:ind w:start="1080" w:end="720"/>
        <w:rPr>
          <w:sz w:val="24"/>
        </w:rPr>
      </w:pPr>
      <w:r>
        <w:rPr>
          <w:sz w:val="24"/>
        </w:rPr>
      </w:r>
    </w:p>
    <w:p>
      <w:pPr>
        <w:pStyle w:val="Normal"/>
        <w:ind w:start="1080" w:end="720"/>
        <w:rPr/>
      </w:pPr>
      <w:r>
        <w:rPr>
          <w:sz w:val="24"/>
        </w:rPr>
        <w:t>“</w:t>
      </w:r>
      <w:r>
        <w:rPr>
          <w:sz w:val="24"/>
        </w:rPr>
        <w:t>[nonutility generators] NGOs, [investor-owned utilities] IOUs, and Power Marketers all influenced the market clearing price in various price ranges and months.  No single category of Participants or individual Participant were influential on a consistent basis over all price ranges or times.”</w:t>
      </w:r>
      <w:r>
        <w:rPr>
          <w:rStyle w:val="FootnoteCharacters"/>
          <w:rStyle w:val="FootnoteReference"/>
          <w:sz w:val="24"/>
        </w:rPr>
        <w:footnoteReference w:id="11"/>
      </w:r>
      <w:r>
        <w:rPr>
          <w:sz w:val="24"/>
        </w:rPr>
        <w:t xml:space="preserve"> </w:t>
      </w:r>
    </w:p>
    <w:p>
      <w:pPr>
        <w:pStyle w:val="Normal"/>
        <w:ind w:start="1080" w:end="720"/>
        <w:rPr>
          <w:sz w:val="24"/>
        </w:rPr>
      </w:pPr>
      <w:r>
        <w:rPr>
          <w:sz w:val="24"/>
        </w:rPr>
      </w:r>
    </w:p>
    <w:p>
      <w:pPr>
        <w:pStyle w:val="BodyTextIndent2"/>
        <w:rPr/>
      </w:pPr>
      <w:r>
        <w:rPr/>
        <w:t xml:space="preserve">Compliance Unit’s support to the conclusion that the only source of the price run ups this summer was not the exercise of market power of individual suppliers but instead resource scarcity and increases in the input costs for electricity. </w:t>
      </w:r>
      <w:r>
        <w:br w:type="page"/>
      </w:r>
    </w:p>
    <w:p>
      <w:pPr>
        <w:pStyle w:val="BodyTextIndent2"/>
        <w:rPr/>
      </w:pPr>
      <w:r>
        <w:rPr/>
      </w:r>
    </w:p>
    <w:p>
      <w:pPr>
        <w:pStyle w:val="BodyTextIndent2"/>
        <w:rPr>
          <w:b/>
        </w:rPr>
      </w:pPr>
      <w:r>
        <w:rPr>
          <w:b/>
        </w:rPr>
        <w:t>PRICE MITIGATION MEASURES AND REFUND RISK</w:t>
      </w:r>
    </w:p>
    <w:p>
      <w:pPr>
        <w:pStyle w:val="BodyTextIndent2"/>
        <w:rPr>
          <w:b/>
        </w:rPr>
      </w:pPr>
      <w:r>
        <w:rPr>
          <w:b/>
        </w:rPr>
      </w:r>
    </w:p>
    <w:p>
      <w:pPr>
        <w:pStyle w:val="BodyTextIndent2"/>
        <w:rPr/>
      </w:pPr>
      <w:r>
        <w:rPr/>
      </w:r>
    </w:p>
    <w:p>
      <w:pPr>
        <w:pStyle w:val="Normal"/>
        <w:rPr>
          <w:sz w:val="24"/>
        </w:rPr>
      </w:pPr>
      <w:r>
        <w:rPr>
          <w:sz w:val="24"/>
        </w:rPr>
        <w:t>Ultimately, Enron believes any cap will harm, not help, consumers.  The Commission must resist calls for stringent caps and focus on additional market reforms: incentives to forward contract, reductions to barriers to new capacity, and improved transmission access.</w:t>
      </w:r>
    </w:p>
    <w:p>
      <w:pPr>
        <w:pStyle w:val="Normal"/>
        <w:rPr>
          <w:sz w:val="24"/>
        </w:rPr>
      </w:pPr>
      <w:r>
        <w:rPr>
          <w:sz w:val="24"/>
        </w:rPr>
      </w:r>
    </w:p>
    <w:p>
      <w:pPr>
        <w:pStyle w:val="BodyTextIndent2"/>
        <w:rPr/>
      </w:pPr>
      <w:r>
        <w:rPr/>
        <w:t>In the White Paper submitted on October 20, 2000 Enron presented the basic arguments against price caps.</w:t>
      </w:r>
      <w:r>
        <w:rPr>
          <w:rStyle w:val="FootnoteCharacters"/>
          <w:rStyle w:val="FootnoteReference"/>
        </w:rPr>
        <w:footnoteReference w:id="12"/>
      </w:r>
      <w:r>
        <w:rPr/>
        <w:t xml:space="preserve">  Enron does not repeat these arguments here. Instead, Enron presents the following information to supplement the basic arguments provided in its White Paper.</w:t>
      </w:r>
    </w:p>
    <w:p>
      <w:pPr>
        <w:pStyle w:val="BodyTextIndent2"/>
        <w:rPr/>
      </w:pPr>
      <w:r>
        <w:rPr/>
      </w:r>
    </w:p>
    <w:p>
      <w:pPr>
        <w:pStyle w:val="BodyTextIndent2"/>
        <w:rPr/>
      </w:pPr>
      <w:r>
        <w:rPr/>
      </w:r>
    </w:p>
    <w:p>
      <w:pPr>
        <w:pStyle w:val="Normal"/>
        <w:rPr>
          <w:b/>
          <w:sz w:val="24"/>
        </w:rPr>
      </w:pPr>
      <w:r>
        <w:rPr>
          <w:b/>
          <w:sz w:val="24"/>
        </w:rPr>
        <w:t>Q.</w:t>
        <w:tab/>
        <w:t xml:space="preserve">Are the Commission proposes price mitigation measures and refund liabilities clear? </w:t>
      </w:r>
    </w:p>
    <w:p>
      <w:pPr>
        <w:pStyle w:val="Normal"/>
        <w:rPr>
          <w:b/>
          <w:sz w:val="24"/>
        </w:rPr>
      </w:pPr>
      <w:r>
        <w:rPr>
          <w:b/>
          <w:sz w:val="24"/>
        </w:rPr>
      </w:r>
    </w:p>
    <w:p>
      <w:pPr>
        <w:pStyle w:val="Normal"/>
        <w:rPr>
          <w:sz w:val="24"/>
        </w:rPr>
      </w:pPr>
      <w:r>
        <w:rPr>
          <w:sz w:val="24"/>
        </w:rPr>
        <w:t>A.</w:t>
        <w:tab/>
        <w:t>No.  To the extent that the Commission imposes price mitigation measures and refund liability is imposed, several aspects  must be clarified.  Although the Order appears to require documentation for “above $150” trades that occur in the PX day-ahead and day-of market and ISO real-time markets. The Commission must clarify that the soft cap does not apply to any other exchanges or bilateral deals and does not apply to any forward markets.  Further, the Commission should clarify that the refund liability period does not apply to any forward or bilateral markets.  [do we want to ask this or can we assume we know the answer??]</w:t>
      </w:r>
    </w:p>
    <w:p>
      <w:pPr>
        <w:pStyle w:val="Normal"/>
        <w:rPr>
          <w:sz w:val="24"/>
        </w:rPr>
      </w:pPr>
      <w:r>
        <w:rPr>
          <w:sz w:val="24"/>
        </w:rPr>
      </w:r>
    </w:p>
    <w:p>
      <w:pPr>
        <w:pStyle w:val="Normal"/>
        <w:rPr>
          <w:sz w:val="24"/>
        </w:rPr>
      </w:pPr>
      <w:r>
        <w:rPr>
          <w:b/>
          <w:sz w:val="24"/>
        </w:rPr>
        <w:t xml:space="preserve">Q. </w:t>
        <w:tab/>
        <w:t>Will the Commission’s Proposed Price Mitigation Measures Facilitate Reliability and Promote the Development of a  Fully Functioning Market?</w:t>
      </w:r>
    </w:p>
    <w:p>
      <w:pPr>
        <w:pStyle w:val="Normal"/>
        <w:rPr>
          <w:sz w:val="24"/>
        </w:rPr>
      </w:pPr>
      <w:r>
        <w:rPr>
          <w:sz w:val="24"/>
        </w:rPr>
      </w:r>
    </w:p>
    <w:p>
      <w:pPr>
        <w:pStyle w:val="Normal"/>
        <w:rPr>
          <w:sz w:val="24"/>
        </w:rPr>
      </w:pPr>
      <w:r>
        <w:rPr>
          <w:sz w:val="24"/>
        </w:rPr>
        <w:t xml:space="preserve">A. </w:t>
        <w:tab/>
        <w:t>No.  The Order renders null and void the load-differentiated price cap adopted by the ISO and leaves the $250/MWh price cap in place through December 30.</w:t>
      </w:r>
      <w:r>
        <w:rPr>
          <w:rStyle w:val="FootnoteCharacters"/>
          <w:rStyle w:val="FootnoteReference"/>
          <w:sz w:val="24"/>
        </w:rPr>
        <w:footnoteReference w:id="13"/>
      </w:r>
      <w:r>
        <w:rPr>
          <w:sz w:val="24"/>
        </w:rPr>
        <w:t xml:space="preserve">  Further, effective December 30, the single price, market-clearing price is limited to $150/MWh.  Bids above that amount above this “soft cap” may be accepted but will not affect the single price auction and will be required to submit documentation on the cost of the bid.</w:t>
      </w:r>
      <w:r>
        <w:rPr>
          <w:rStyle w:val="FootnoteCharacters"/>
          <w:rStyle w:val="FootnoteReference"/>
          <w:sz w:val="24"/>
        </w:rPr>
        <w:footnoteReference w:id="14"/>
      </w:r>
    </w:p>
    <w:p>
      <w:pPr>
        <w:pStyle w:val="Normal"/>
        <w:rPr>
          <w:sz w:val="24"/>
        </w:rPr>
      </w:pPr>
      <w:r>
        <w:rPr>
          <w:sz w:val="24"/>
        </w:rPr>
      </w:r>
    </w:p>
    <w:p>
      <w:pPr>
        <w:pStyle w:val="Normal"/>
        <w:rPr>
          <w:sz w:val="24"/>
        </w:rPr>
      </w:pPr>
      <w:r>
        <w:rPr>
          <w:sz w:val="24"/>
        </w:rPr>
        <w:t>Enron cannot over emphasizes the severe and potentially unintended consequences that will be caused by the Commission’s reporting requirements and refund liability.  Sellers who submit bids above the soft cap and comply with the Commission’s reporting requirements will face the considerable financial risks associated with refunds. A clear effect will be to remove liquidity from the PX and ISO markets.  Whether the soft cap imposes simply costs on the market (i.e., bidders reflect reporting costs and risk in their bid but otherwise submit power to the California market) or causes severe reliability impacts (i.e., bidders seeing too much refund liability risk simply stay out of the California market) cannot be predicted and Enron strongly cautions against such risky experimentation.</w:t>
      </w:r>
    </w:p>
    <w:p>
      <w:pPr>
        <w:pStyle w:val="Normal"/>
        <w:rPr>
          <w:sz w:val="24"/>
        </w:rPr>
      </w:pPr>
      <w:r>
        <w:rPr>
          <w:sz w:val="24"/>
        </w:rPr>
      </w:r>
    </w:p>
    <w:p>
      <w:pPr>
        <w:pStyle w:val="Normal"/>
        <w:rPr>
          <w:sz w:val="24"/>
        </w:rPr>
      </w:pPr>
      <w:r>
        <w:rPr>
          <w:sz w:val="24"/>
        </w:rPr>
      </w:r>
    </w:p>
    <w:p>
      <w:pPr>
        <w:pStyle w:val="Normal"/>
        <w:rPr>
          <w:sz w:val="24"/>
        </w:rPr>
      </w:pPr>
      <w:r>
        <w:rPr>
          <w:sz w:val="24"/>
        </w:rPr>
      </w:r>
    </w:p>
    <w:p>
      <w:pPr>
        <w:pStyle w:val="BodyText2"/>
        <w:rPr/>
      </w:pPr>
      <w:r>
        <w:rPr>
          <w:rPrChange w:id="0" w:author="Unknown Author" w:date="0-00-00T00:00:00Z"/>
        </w:rPr>
        <w:t xml:space="preserve">Q. </w:t>
        <w:tab/>
        <w:t>Are there other examples of power markets that have avoided the reliability problems exacerbated by price caps?</w:t>
      </w:r>
    </w:p>
    <w:p>
      <w:pPr>
        <w:pStyle w:val="Normal"/>
        <w:rPr>
          <w:sz w:val="24"/>
        </w:rPr>
      </w:pPr>
      <w:r>
        <w:rPr>
          <w:sz w:val="24"/>
        </w:rPr>
      </w:r>
    </w:p>
    <w:p>
      <w:pPr>
        <w:pStyle w:val="Normal"/>
        <w:rPr>
          <w:sz w:val="24"/>
        </w:rPr>
      </w:pPr>
      <w:r>
        <w:rPr>
          <w:sz w:val="24"/>
        </w:rPr>
        <w:t>A.</w:t>
        <w:tab/>
        <w:t>As the Commission is well aware, developing market structures to insure a well functioning market and competitive benefits is an issue in other parts of the country.   The Commission, in conjunction with the states, is allowing different approaches to achieve such goals.  The experience in the Midwest provides a valuable lesson.  There, the Commission’s staff have recognized the importance of price in inducing new supply when it analyzed market conditions in the Midwest.  The Midwest refrained from instituting price caps and has had, as a result, a responsive supply market:</w:t>
      </w:r>
    </w:p>
    <w:p>
      <w:pPr>
        <w:pStyle w:val="Normal"/>
        <w:rPr>
          <w:sz w:val="24"/>
        </w:rPr>
      </w:pPr>
      <w:r>
        <w:rPr>
          <w:sz w:val="24"/>
        </w:rPr>
      </w:r>
    </w:p>
    <w:p>
      <w:pPr>
        <w:pStyle w:val="BlockText"/>
        <w:rPr/>
      </w:pPr>
      <w:r>
        <w:rPr/>
        <w:t>“</w:t>
      </w:r>
      <w:r>
        <w:rPr/>
        <w:t>As discussed earlier, in the summers of 1998 and 1999, the Midwest experienced price spikes for wholesale bulk power.  The midwestern state regulatory agencies did not petition the Commission to institute price caps after these price spikes.   Therefore, the Midwest remains a region without area-wide price caps in the wholesale market.  Some market participants that provided information to Staff believe that the absence of an area-wide price cap is the single reason that NUG construction has increased in the Midwest.”</w:t>
      </w:r>
      <w:r>
        <w:rPr>
          <w:rStyle w:val="FootnoteCharacters"/>
          <w:rStyle w:val="FootnoteReference"/>
        </w:rPr>
        <w:footnoteReference w:id="15"/>
      </w:r>
    </w:p>
    <w:p>
      <w:pPr>
        <w:pStyle w:val="Normal"/>
        <w:rPr>
          <w:sz w:val="24"/>
        </w:rPr>
      </w:pPr>
      <w:r>
        <w:rPr>
          <w:sz w:val="24"/>
        </w:rPr>
      </w:r>
    </w:p>
    <w:p>
      <w:pPr>
        <w:pStyle w:val="Normal"/>
        <w:rPr>
          <w:sz w:val="24"/>
        </w:rPr>
      </w:pPr>
      <w:r>
        <w:rPr>
          <w:sz w:val="24"/>
        </w:rPr>
        <w:t>Enron reiterates that a focus on capacity expansion and improved transmission access—not price caps--are the key to solving California’s current problems.</w:t>
      </w:r>
    </w:p>
    <w:p>
      <w:pPr>
        <w:pStyle w:val="Normal"/>
        <w:rPr>
          <w:sz w:val="24"/>
        </w:rPr>
      </w:pPr>
      <w:r>
        <w:rPr>
          <w:sz w:val="24"/>
        </w:rPr>
      </w:r>
    </w:p>
    <w:p>
      <w:pPr>
        <w:pStyle w:val="Heading1"/>
        <w:ind w:hanging="0" w:start="0"/>
        <w:rPr/>
      </w:pPr>
      <w:r>
        <w:rPr/>
        <w:t xml:space="preserve">Q.  </w:t>
        <w:tab/>
        <w:t>Will the Commission’s Order Further the Development of Demand Side Resources?</w:t>
      </w:r>
    </w:p>
    <w:p>
      <w:pPr>
        <w:pStyle w:val="Normal"/>
        <w:rPr>
          <w:sz w:val="24"/>
        </w:rPr>
      </w:pPr>
      <w:r>
        <w:rPr>
          <w:sz w:val="24"/>
        </w:rPr>
      </w:r>
    </w:p>
    <w:p>
      <w:pPr>
        <w:pStyle w:val="Normal"/>
        <w:rPr>
          <w:sz w:val="24"/>
        </w:rPr>
      </w:pPr>
      <w:r>
        <w:rPr>
          <w:sz w:val="24"/>
        </w:rPr>
        <w:t xml:space="preserve">A. </w:t>
        <w:tab/>
        <w:t>No.  Price caps will squelch the development of a meaningful market for price-responsive demand. Voluntary curtailable demand simply does not exist at material levels below  $250/MWh.  In fact, Enron has observed that most curtailable load has a reservation price at or above $1,500/MWh.  It is commendable that the Commission’s itself states “We direct the ISO and Scheduling Coordinators to consider demand bidding programs in which loads can bid offers of demand reduction directly into the market to compete with offers of supply.” (p. 36).  Unfortunately, because of the Commission’s reliance on price caps, few demand-side resources will be made available in the marketplace.</w:t>
      </w:r>
    </w:p>
    <w:p>
      <w:pPr>
        <w:pStyle w:val="Normal"/>
        <w:rPr>
          <w:sz w:val="24"/>
        </w:rPr>
      </w:pPr>
      <w:r>
        <w:rPr>
          <w:sz w:val="24"/>
        </w:rPr>
      </w:r>
    </w:p>
    <w:p>
      <w:pPr>
        <w:pStyle w:val="Normal"/>
        <w:rPr/>
      </w:pPr>
      <w:r>
        <w:rPr>
          <w:sz w:val="24"/>
        </w:rPr>
        <w:t>The Order’s nominal exemption of the Demand Response programs from the $150/MWh soft cap will not bring such load to the market, unless the ISO or other SC that receives a subsidy operates the program.</w:t>
      </w:r>
      <w:r>
        <w:rPr>
          <w:rStyle w:val="FootnoteCharacters"/>
          <w:rStyle w:val="FootnoteReference"/>
          <w:sz w:val="24"/>
        </w:rPr>
        <w:footnoteReference w:id="16"/>
      </w:r>
      <w:r>
        <w:rPr>
          <w:sz w:val="24"/>
        </w:rPr>
        <w:t xml:space="preserve">  So long as there are price caps, no rational end-use customer will put its demand up for bid if it knows it will be competing with supply that has a price capped at a low level.</w:t>
      </w:r>
    </w:p>
    <w:p>
      <w:pPr>
        <w:pStyle w:val="Normal"/>
        <w:rPr>
          <w:sz w:val="24"/>
        </w:rPr>
      </w:pPr>
      <w:r>
        <w:rPr>
          <w:sz w:val="24"/>
        </w:rPr>
      </w:r>
    </w:p>
    <w:p>
      <w:pPr>
        <w:pStyle w:val="Normal"/>
        <w:rPr>
          <w:sz w:val="24"/>
        </w:rPr>
      </w:pPr>
      <w:r>
        <w:rPr>
          <w:sz w:val="24"/>
        </w:rPr>
        <w:t xml:space="preserve">Enron has developed demand responsive loads with its retail customers.  In one type of program, Enron will curtail a customer is the expected spot price of power exceeds the customer’s reservation price, which reflects its cost of curtailing demand (usually the lost profit of curtailed production).  Enron shares with the customer the savings between the cost of generation in to supply the retail contract and the real-time energy price of the ISO.   The customer benefits because it receives a payment for curtailment.  Enron  benefits because it is able to meet its contractual retail obligation without having to procure expensive power.   Enron is able to operate this program without expensive metering and reporting requirements.   Programs like this are killed with price caps as the market price for power is kept artificially below the customer’s reservation price. </w:t>
      </w:r>
    </w:p>
    <w:p>
      <w:pPr>
        <w:pStyle w:val="Normal"/>
        <w:rPr>
          <w:sz w:val="24"/>
        </w:rPr>
      </w:pPr>
      <w:r>
        <w:rPr>
          <w:sz w:val="24"/>
        </w:rPr>
      </w:r>
    </w:p>
    <w:p>
      <w:pPr>
        <w:pStyle w:val="Heading2"/>
        <w:ind w:hanging="0" w:start="0"/>
        <w:rPr>
          <w:b/>
          <w:i w:val="false"/>
          <w:i w:val="false"/>
        </w:rPr>
      </w:pPr>
      <w:r>
        <w:rPr>
          <w:b/>
          <w:i w:val="false"/>
        </w:rPr>
        <w:t>Q.</w:t>
        <w:tab/>
        <w:t>How Wide is the Disparity Between the Proposed Caps and the Cost of New Peaking Resources</w:t>
      </w:r>
    </w:p>
    <w:p>
      <w:pPr>
        <w:pStyle w:val="Normal"/>
        <w:rPr>
          <w:i/>
          <w:i/>
          <w:sz w:val="24"/>
        </w:rPr>
      </w:pPr>
      <w:r>
        <w:rPr>
          <w:b/>
          <w:i/>
          <w:sz w:val="24"/>
        </w:rPr>
        <w:t xml:space="preserve">[need to put in Mary’s comments here] </w:t>
      </w:r>
    </w:p>
    <w:p>
      <w:pPr>
        <w:pStyle w:val="Normal"/>
        <w:rPr>
          <w:i/>
          <w:i/>
          <w:sz w:val="24"/>
        </w:rPr>
      </w:pPr>
      <w:r>
        <w:rPr>
          <w:i/>
          <w:sz w:val="24"/>
        </w:rPr>
      </w:r>
    </w:p>
    <w:p>
      <w:pPr>
        <w:pStyle w:val="Heading3"/>
        <w:ind w:hanging="0" w:start="0"/>
        <w:rPr/>
      </w:pPr>
      <w:r>
        <w:rPr/>
        <w:t>A.</w:t>
        <w:tab/>
        <w:t>Wide and getting wider.  In earlier information supplied to the Commission,</w:t>
      </w:r>
      <w:r>
        <w:rPr>
          <w:rStyle w:val="FootnoteCharacters"/>
          <w:rStyle w:val="FootnoteReference"/>
        </w:rPr>
        <w:footnoteReference w:id="17"/>
      </w:r>
      <w:r>
        <w:rPr/>
        <w:t xml:space="preserve"> Enron provided data on the cost of peaking resources in California.  These data demonstrated the problems with low caps.  Peaking resources that operate only 5% to 15% of the hours in a have a unit cost well in excess of  $250/ MWh.  Price caps, or even the threat of caps, kill the market incentives to construct such plants.</w:t>
      </w:r>
    </w:p>
    <w:p>
      <w:pPr>
        <w:pStyle w:val="Normal"/>
        <w:rPr>
          <w:sz w:val="24"/>
        </w:rPr>
      </w:pPr>
      <w:r>
        <w:rPr>
          <w:sz w:val="24"/>
        </w:rPr>
      </w:r>
    </w:p>
    <w:p>
      <w:pPr>
        <w:pStyle w:val="BodyTextIndent"/>
        <w:ind w:hanging="0" w:start="0" w:end="0"/>
        <w:rPr/>
      </w:pPr>
      <w:r>
        <w:rPr/>
        <w:t>The Commission’s Order, which signaled the continuation of low hard caps [DO WE WANT TO SAY THIS??] and places increased scrutiny on any sales above $150/MWh, immediately reduced capacity available to California.  Calpine and Enron cancelled 574 MW of peaking capacity scheduled for completion by summer 2001. [check with Calger] This capacity had been proposed in response to the ISO’s request for proposals for 2,045 MW of peaking resources.</w:t>
      </w:r>
      <w:r>
        <w:rPr>
          <w:rStyle w:val="FootnoteCharacters"/>
          <w:rStyle w:val="FootnoteReference"/>
        </w:rPr>
        <w:footnoteReference w:id="18"/>
      </w:r>
      <w:r>
        <w:rPr/>
        <w:t xml:space="preserve">  The continuation of price caps as signaled by the Commission’s November 1 order contributed to the economic uncertainty that led to these projects’ demise.</w:t>
      </w:r>
    </w:p>
    <w:p>
      <w:pPr>
        <w:pStyle w:val="BodyTextIndent"/>
        <w:ind w:hanging="0" w:start="0" w:end="0"/>
        <w:rPr/>
      </w:pPr>
      <w:r>
        <w:rPr/>
      </w:r>
    </w:p>
    <w:p>
      <w:pPr>
        <w:pStyle w:val="BodyTextIndent"/>
        <w:ind w:hanging="0" w:start="0" w:end="0"/>
        <w:rPr/>
      </w:pPr>
      <w:r>
        <w:rPr/>
        <w:t>Ironically, just as the Commission faces pressures to lower rather than lift price caps, the cost of peaking capacity located near load centers in California is on the increase.   In data presented this summer Enron estimated that the installed cost of a 48 MW (gross) LM6000 turbine was $27 million.  Current estimates for the same unit are $40 million, or over $900/KW (net) (Table 1).</w:t>
      </w:r>
      <w:r>
        <w:rPr>
          <w:rStyle w:val="FootnoteCharacters"/>
          <w:rStyle w:val="FootnoteReference"/>
        </w:rPr>
        <w:footnoteReference w:id="19"/>
      </w:r>
      <w:r>
        <w:rPr/>
        <w:t xml:space="preserve">  Higher costs in California are due to strict permitting requirements,</w:t>
      </w:r>
      <w:r>
        <w:rPr>
          <w:rStyle w:val="FootnoteCharacters"/>
          <w:rStyle w:val="FootnoteReference"/>
        </w:rPr>
        <w:footnoteReference w:id="20"/>
      </w:r>
      <w:r>
        <w:rPr/>
        <w:t xml:space="preserve"> the cost of air quality offsets, and high labor costs in construction trades.</w:t>
      </w:r>
      <w:r>
        <w:rPr>
          <w:rStyle w:val="FootnoteCharacters"/>
          <w:rStyle w:val="FootnoteReference"/>
        </w:rPr>
        <w:footnoteReference w:id="21"/>
      </w:r>
      <w:r>
        <w:rPr/>
        <w:t xml:space="preserve"> </w:t>
      </w:r>
      <w:r>
        <w:br w:type="page"/>
      </w:r>
    </w:p>
    <w:p>
      <w:pPr>
        <w:pStyle w:val="BodyTextIndent"/>
        <w:ind w:hanging="0" w:start="0" w:end="0"/>
        <w:rPr/>
      </w:pPr>
      <w:r>
        <w:rPr/>
      </w:r>
    </w:p>
    <w:p>
      <w:pPr>
        <w:pStyle w:val="BodyTextIndent"/>
        <w:ind w:hanging="0" w:start="0" w:end="0"/>
        <w:rPr/>
      </w:pPr>
      <w:r>
        <w:rPr/>
        <w:t>Table 1.  California Peaker Plant Economics</w:t>
      </w:r>
    </w:p>
    <w:tbl>
      <w:tblPr>
        <w:tblW w:w="4710" w:type="dxa"/>
        <w:jc w:val="start"/>
        <w:tblInd w:w="0" w:type="dxa"/>
        <w:tblLayout w:type="fixed"/>
        <w:tblCellMar>
          <w:top w:w="0" w:type="dxa"/>
          <w:start w:w="30" w:type="dxa"/>
          <w:bottom w:w="0" w:type="dxa"/>
          <w:end w:w="30" w:type="dxa"/>
        </w:tblCellMar>
      </w:tblPr>
      <w:tblGrid>
        <w:gridCol w:w="3218"/>
        <w:gridCol w:w="1492"/>
      </w:tblGrid>
      <w:tr>
        <w:trPr>
          <w:trHeight w:val="247" w:hRule="atLeast"/>
        </w:trPr>
        <w:tc>
          <w:tcPr>
            <w:tcW w:w="3218" w:type="dxa"/>
            <w:tcBorders/>
          </w:tcPr>
          <w:p>
            <w:pPr>
              <w:pStyle w:val="Normal"/>
              <w:rPr>
                <w:color w:val="000000"/>
                <w:lang w:eastAsia="en-US"/>
              </w:rPr>
            </w:pPr>
            <w:r>
              <w:rPr>
                <w:color w:val="000000"/>
                <w:lang w:eastAsia="en-US"/>
              </w:rPr>
              <w:t>Technology:</w:t>
            </w:r>
          </w:p>
        </w:tc>
        <w:tc>
          <w:tcPr>
            <w:tcW w:w="1492" w:type="dxa"/>
            <w:tcBorders/>
          </w:tcPr>
          <w:p>
            <w:pPr>
              <w:pStyle w:val="Normal"/>
              <w:rPr>
                <w:color w:val="000000"/>
                <w:lang w:eastAsia="en-US"/>
              </w:rPr>
            </w:pPr>
            <w:r>
              <w:rPr>
                <w:color w:val="000000"/>
                <w:lang w:eastAsia="en-US"/>
              </w:rPr>
              <w:t>GE LM 6000</w:t>
            </w:r>
          </w:p>
        </w:tc>
      </w:tr>
      <w:tr>
        <w:trPr>
          <w:trHeight w:val="247" w:hRule="atLeast"/>
        </w:trPr>
        <w:tc>
          <w:tcPr>
            <w:tcW w:w="3218" w:type="dxa"/>
            <w:tcBorders/>
          </w:tcPr>
          <w:p>
            <w:pPr>
              <w:pStyle w:val="Normal"/>
              <w:rPr>
                <w:color w:val="000000"/>
                <w:lang w:eastAsia="en-US"/>
              </w:rPr>
            </w:pPr>
            <w:r>
              <w:rPr>
                <w:color w:val="000000"/>
                <w:lang w:eastAsia="en-US"/>
              </w:rPr>
              <w:t xml:space="preserve">Fuel:  </w:t>
            </w:r>
          </w:p>
        </w:tc>
        <w:tc>
          <w:tcPr>
            <w:tcW w:w="1492" w:type="dxa"/>
            <w:tcBorders/>
          </w:tcPr>
          <w:p>
            <w:pPr>
              <w:pStyle w:val="Normal"/>
              <w:rPr>
                <w:color w:val="000000"/>
                <w:lang w:eastAsia="en-US"/>
              </w:rPr>
            </w:pPr>
            <w:r>
              <w:rPr>
                <w:color w:val="000000"/>
                <w:lang w:eastAsia="en-US"/>
              </w:rPr>
              <w:t>Natural Gas</w:t>
            </w:r>
          </w:p>
        </w:tc>
      </w:tr>
      <w:tr>
        <w:trPr>
          <w:trHeight w:val="247" w:hRule="atLeast"/>
        </w:trPr>
        <w:tc>
          <w:tcPr>
            <w:tcW w:w="3218" w:type="dxa"/>
            <w:tcBorders/>
          </w:tcPr>
          <w:p>
            <w:pPr>
              <w:pStyle w:val="Normal"/>
              <w:rPr>
                <w:color w:val="000000"/>
                <w:lang w:eastAsia="en-US"/>
              </w:rPr>
            </w:pPr>
            <w:r>
              <w:rPr>
                <w:color w:val="000000"/>
                <w:lang w:eastAsia="en-US"/>
              </w:rPr>
              <w:t>Heat Rate:</w:t>
            </w:r>
          </w:p>
        </w:tc>
        <w:tc>
          <w:tcPr>
            <w:tcW w:w="1492" w:type="dxa"/>
            <w:tcBorders/>
          </w:tcPr>
          <w:p>
            <w:pPr>
              <w:pStyle w:val="Normal"/>
              <w:rPr>
                <w:color w:val="000000"/>
                <w:lang w:eastAsia="en-US"/>
              </w:rPr>
            </w:pPr>
            <w:r>
              <w:rPr>
                <w:color w:val="000000"/>
                <w:lang w:eastAsia="en-US"/>
              </w:rPr>
              <w:t>10,000 Btu/Kwh</w:t>
            </w:r>
          </w:p>
        </w:tc>
      </w:tr>
      <w:tr>
        <w:trPr>
          <w:trHeight w:val="247" w:hRule="atLeast"/>
        </w:trPr>
        <w:tc>
          <w:tcPr>
            <w:tcW w:w="3218" w:type="dxa"/>
            <w:tcBorders/>
          </w:tcPr>
          <w:p>
            <w:pPr>
              <w:pStyle w:val="Normal"/>
              <w:rPr>
                <w:color w:val="000000"/>
                <w:lang w:eastAsia="en-US"/>
              </w:rPr>
            </w:pPr>
            <w:r>
              <w:rPr>
                <w:color w:val="000000"/>
                <w:lang w:eastAsia="en-US"/>
              </w:rPr>
              <w:t>Capacity:</w:t>
            </w:r>
          </w:p>
        </w:tc>
        <w:tc>
          <w:tcPr>
            <w:tcW w:w="1492" w:type="dxa"/>
            <w:tcBorders/>
          </w:tcPr>
          <w:p>
            <w:pPr>
              <w:pStyle w:val="Normal"/>
              <w:rPr>
                <w:color w:val="000000"/>
                <w:lang w:eastAsia="en-US"/>
              </w:rPr>
            </w:pPr>
            <w:r>
              <w:rPr>
                <w:color w:val="000000"/>
                <w:lang w:eastAsia="en-US"/>
              </w:rPr>
              <w:t>48 MW (45 MW net)</w:t>
            </w:r>
          </w:p>
        </w:tc>
      </w:tr>
      <w:tr>
        <w:trPr>
          <w:trHeight w:val="247" w:hRule="atLeast"/>
        </w:trPr>
        <w:tc>
          <w:tcPr>
            <w:tcW w:w="3218" w:type="dxa"/>
            <w:tcBorders/>
          </w:tcPr>
          <w:p>
            <w:pPr>
              <w:pStyle w:val="Normal"/>
              <w:rPr>
                <w:color w:val="000000"/>
                <w:lang w:eastAsia="en-US"/>
              </w:rPr>
            </w:pPr>
            <w:r>
              <w:rPr>
                <w:color w:val="000000"/>
                <w:lang w:eastAsia="en-US"/>
              </w:rPr>
              <w:t>Capital Structure:</w:t>
            </w:r>
          </w:p>
        </w:tc>
        <w:tc>
          <w:tcPr>
            <w:tcW w:w="1492" w:type="dxa"/>
            <w:tcBorders/>
          </w:tcPr>
          <w:p>
            <w:pPr>
              <w:pStyle w:val="Normal"/>
              <w:rPr>
                <w:color w:val="000000"/>
                <w:lang w:eastAsia="en-US"/>
              </w:rPr>
            </w:pPr>
            <w:r>
              <w:rPr>
                <w:color w:val="000000"/>
                <w:lang w:eastAsia="en-US"/>
              </w:rPr>
              <w:t>60% debt/40% equity</w:t>
            </w:r>
          </w:p>
        </w:tc>
      </w:tr>
      <w:tr>
        <w:trPr>
          <w:trHeight w:val="247" w:hRule="atLeast"/>
        </w:trPr>
        <w:tc>
          <w:tcPr>
            <w:tcW w:w="3218" w:type="dxa"/>
            <w:tcBorders/>
          </w:tcPr>
          <w:p>
            <w:pPr>
              <w:pStyle w:val="Normal"/>
              <w:rPr>
                <w:color w:val="000000"/>
                <w:lang w:eastAsia="en-US"/>
              </w:rPr>
            </w:pPr>
            <w:r>
              <w:rPr>
                <w:color w:val="000000"/>
                <w:lang w:eastAsia="en-US"/>
              </w:rPr>
              <w:t>Cost of Debt</w:t>
            </w:r>
          </w:p>
        </w:tc>
        <w:tc>
          <w:tcPr>
            <w:tcW w:w="1492" w:type="dxa"/>
            <w:tcBorders/>
          </w:tcPr>
          <w:p>
            <w:pPr>
              <w:pStyle w:val="Normal"/>
              <w:jc w:val="end"/>
              <w:rPr>
                <w:color w:val="000000"/>
                <w:lang w:eastAsia="en-US"/>
              </w:rPr>
            </w:pPr>
            <w:r>
              <w:rPr>
                <w:color w:val="000000"/>
                <w:lang w:eastAsia="en-US"/>
              </w:rPr>
              <w:t>9%</w:t>
            </w:r>
          </w:p>
        </w:tc>
      </w:tr>
      <w:tr>
        <w:trPr>
          <w:trHeight w:val="247" w:hRule="atLeast"/>
        </w:trPr>
        <w:tc>
          <w:tcPr>
            <w:tcW w:w="3218" w:type="dxa"/>
            <w:tcBorders/>
          </w:tcPr>
          <w:p>
            <w:pPr>
              <w:pStyle w:val="Normal"/>
              <w:rPr>
                <w:color w:val="000000"/>
                <w:lang w:eastAsia="en-US"/>
              </w:rPr>
            </w:pPr>
            <w:r>
              <w:rPr>
                <w:color w:val="000000"/>
                <w:lang w:eastAsia="en-US"/>
              </w:rPr>
              <w:t>Cost of Equity (after tax)</w:t>
            </w:r>
          </w:p>
        </w:tc>
        <w:tc>
          <w:tcPr>
            <w:tcW w:w="1492" w:type="dxa"/>
            <w:tcBorders/>
          </w:tcPr>
          <w:p>
            <w:pPr>
              <w:pStyle w:val="Normal"/>
              <w:jc w:val="end"/>
              <w:rPr>
                <w:color w:val="000000"/>
                <w:lang w:eastAsia="en-US"/>
              </w:rPr>
            </w:pPr>
            <w:r>
              <w:rPr>
                <w:color w:val="000000"/>
                <w:lang w:eastAsia="en-US"/>
              </w:rPr>
              <w:t>15%</w:t>
            </w:r>
          </w:p>
        </w:tc>
      </w:tr>
      <w:tr>
        <w:trPr>
          <w:trHeight w:val="247" w:hRule="atLeast"/>
        </w:trPr>
        <w:tc>
          <w:tcPr>
            <w:tcW w:w="3218" w:type="dxa"/>
            <w:tcBorders/>
          </w:tcPr>
          <w:p>
            <w:pPr>
              <w:pStyle w:val="Normal"/>
              <w:rPr>
                <w:color w:val="000000"/>
                <w:lang w:eastAsia="en-US"/>
              </w:rPr>
            </w:pPr>
            <w:r>
              <w:rPr>
                <w:color w:val="000000"/>
                <w:lang w:eastAsia="en-US"/>
              </w:rPr>
              <w:t>Amortization Term (yrs)</w:t>
            </w:r>
          </w:p>
        </w:tc>
        <w:tc>
          <w:tcPr>
            <w:tcW w:w="1492" w:type="dxa"/>
            <w:tcBorders/>
          </w:tcPr>
          <w:p>
            <w:pPr>
              <w:pStyle w:val="Normal"/>
              <w:jc w:val="end"/>
              <w:rPr>
                <w:color w:val="000000"/>
                <w:lang w:eastAsia="en-US"/>
              </w:rPr>
            </w:pPr>
            <w:r>
              <w:rPr>
                <w:color w:val="000000"/>
                <w:lang w:eastAsia="en-US"/>
              </w:rPr>
              <w:t>20</w:t>
            </w:r>
          </w:p>
        </w:tc>
      </w:tr>
      <w:tr>
        <w:trPr>
          <w:trHeight w:val="494" w:hRule="atLeast"/>
        </w:trPr>
        <w:tc>
          <w:tcPr>
            <w:tcW w:w="3218" w:type="dxa"/>
            <w:tcBorders/>
          </w:tcPr>
          <w:p>
            <w:pPr>
              <w:pStyle w:val="Normal"/>
              <w:rPr>
                <w:color w:val="000000"/>
                <w:lang w:eastAsia="en-US"/>
              </w:rPr>
            </w:pPr>
            <w:r>
              <w:rPr>
                <w:color w:val="000000"/>
                <w:lang w:eastAsia="en-US"/>
              </w:rPr>
              <w:t>Total Cost to Build ($ million):</w:t>
            </w:r>
          </w:p>
        </w:tc>
        <w:tc>
          <w:tcPr>
            <w:tcW w:w="1492" w:type="dxa"/>
            <w:tcBorders/>
          </w:tcPr>
          <w:p>
            <w:pPr>
              <w:pStyle w:val="Normal"/>
              <w:jc w:val="end"/>
              <w:rPr>
                <w:color w:val="000000"/>
                <w:lang w:eastAsia="en-US"/>
              </w:rPr>
            </w:pPr>
            <w:r>
              <w:rPr>
                <w:color w:val="000000"/>
                <w:lang w:eastAsia="en-US"/>
              </w:rPr>
              <w:t>40</w:t>
            </w:r>
          </w:p>
        </w:tc>
      </w:tr>
      <w:tr>
        <w:trPr>
          <w:trHeight w:val="494" w:hRule="atLeast"/>
        </w:trPr>
        <w:tc>
          <w:tcPr>
            <w:tcW w:w="3218" w:type="dxa"/>
            <w:tcBorders/>
          </w:tcPr>
          <w:p>
            <w:pPr>
              <w:pStyle w:val="Normal"/>
              <w:rPr>
                <w:color w:val="000000"/>
                <w:lang w:eastAsia="en-US"/>
              </w:rPr>
            </w:pPr>
            <w:r>
              <w:rPr>
                <w:color w:val="000000"/>
                <w:lang w:eastAsia="en-US"/>
              </w:rPr>
              <w:t>Fuel Cost ($/MWh @ $4.35/MMBtu gas)</w:t>
            </w:r>
          </w:p>
        </w:tc>
        <w:tc>
          <w:tcPr>
            <w:tcW w:w="1492" w:type="dxa"/>
            <w:tcBorders/>
          </w:tcPr>
          <w:p>
            <w:pPr>
              <w:pStyle w:val="Normal"/>
              <w:jc w:val="end"/>
              <w:rPr>
                <w:color w:val="000000"/>
                <w:lang w:eastAsia="en-US"/>
              </w:rPr>
            </w:pPr>
            <w:r>
              <w:rPr>
                <w:color w:val="000000"/>
                <w:lang w:eastAsia="en-US"/>
              </w:rPr>
              <w:t>4.35</w:t>
            </w:r>
          </w:p>
        </w:tc>
      </w:tr>
      <w:tr>
        <w:trPr>
          <w:trHeight w:val="247" w:hRule="atLeast"/>
        </w:trPr>
        <w:tc>
          <w:tcPr>
            <w:tcW w:w="3218" w:type="dxa"/>
            <w:tcBorders/>
          </w:tcPr>
          <w:p>
            <w:pPr>
              <w:pStyle w:val="Normal"/>
              <w:rPr>
                <w:color w:val="000000"/>
                <w:lang w:eastAsia="en-US"/>
              </w:rPr>
            </w:pPr>
            <w:r>
              <w:rPr>
                <w:color w:val="000000"/>
                <w:lang w:eastAsia="en-US"/>
              </w:rPr>
              <w:t>Variable O&amp;M ($/MWh)</w:t>
            </w:r>
          </w:p>
        </w:tc>
        <w:tc>
          <w:tcPr>
            <w:tcW w:w="1492" w:type="dxa"/>
            <w:tcBorders/>
          </w:tcPr>
          <w:p>
            <w:pPr>
              <w:pStyle w:val="Normal"/>
              <w:jc w:val="end"/>
              <w:rPr>
                <w:color w:val="000000"/>
                <w:lang w:eastAsia="en-US"/>
              </w:rPr>
            </w:pPr>
            <w:r>
              <w:rPr>
                <w:color w:val="000000"/>
                <w:lang w:eastAsia="en-US"/>
              </w:rPr>
              <w:t>3.00</w:t>
            </w:r>
          </w:p>
        </w:tc>
      </w:tr>
      <w:tr>
        <w:trPr>
          <w:trHeight w:val="494" w:hRule="atLeast"/>
        </w:trPr>
        <w:tc>
          <w:tcPr>
            <w:tcW w:w="3218" w:type="dxa"/>
            <w:tcBorders/>
          </w:tcPr>
          <w:p>
            <w:pPr>
              <w:pStyle w:val="Normal"/>
              <w:rPr>
                <w:color w:val="000000"/>
                <w:lang w:eastAsia="en-US"/>
              </w:rPr>
            </w:pPr>
            <w:r>
              <w:rPr>
                <w:color w:val="000000"/>
                <w:lang w:eastAsia="en-US"/>
              </w:rPr>
              <w:t>Effective Emission Offset Cost ($/MWh)</w:t>
            </w:r>
          </w:p>
        </w:tc>
        <w:tc>
          <w:tcPr>
            <w:tcW w:w="1492" w:type="dxa"/>
            <w:tcBorders/>
          </w:tcPr>
          <w:p>
            <w:pPr>
              <w:pStyle w:val="Normal"/>
              <w:jc w:val="end"/>
              <w:rPr>
                <w:color w:val="000000"/>
                <w:lang w:eastAsia="en-US"/>
              </w:rPr>
            </w:pPr>
            <w:r>
              <w:rPr>
                <w:color w:val="000000"/>
                <w:lang w:eastAsia="en-US"/>
              </w:rPr>
              <w:t>10.00</w:t>
            </w:r>
          </w:p>
        </w:tc>
      </w:tr>
      <w:tr>
        <w:trPr>
          <w:trHeight w:val="494" w:hRule="atLeast"/>
        </w:trPr>
        <w:tc>
          <w:tcPr>
            <w:tcW w:w="3218" w:type="dxa"/>
            <w:tcBorders/>
          </w:tcPr>
          <w:p>
            <w:pPr>
              <w:pStyle w:val="Normal"/>
              <w:rPr>
                <w:color w:val="000000"/>
                <w:lang w:eastAsia="en-US"/>
              </w:rPr>
            </w:pPr>
            <w:r>
              <w:rPr>
                <w:color w:val="000000"/>
                <w:lang w:eastAsia="en-US"/>
              </w:rPr>
              <w:t>Annual Fixed O&amp;M ($ million):</w:t>
            </w:r>
          </w:p>
        </w:tc>
        <w:tc>
          <w:tcPr>
            <w:tcW w:w="1492" w:type="dxa"/>
            <w:tcBorders/>
          </w:tcPr>
          <w:p>
            <w:pPr>
              <w:pStyle w:val="Normal"/>
              <w:jc w:val="end"/>
              <w:rPr>
                <w:color w:val="000000"/>
                <w:lang w:eastAsia="en-US"/>
              </w:rPr>
            </w:pPr>
            <w:r>
              <w:rPr>
                <w:color w:val="000000"/>
                <w:lang w:eastAsia="en-US"/>
              </w:rPr>
              <w:t>1.90</w:t>
            </w:r>
          </w:p>
        </w:tc>
      </w:tr>
    </w:tbl>
    <w:p>
      <w:pPr>
        <w:pStyle w:val="BodyTextIndent"/>
        <w:ind w:hanging="0" w:start="0" w:end="0"/>
        <w:rPr/>
      </w:pPr>
      <w:r>
        <w:rPr/>
      </w:r>
      <w:r>
        <w:br w:type="page"/>
      </w:r>
    </w:p>
    <w:p>
      <w:pPr>
        <w:pStyle w:val="BodyTextIndent"/>
        <w:ind w:hanging="0" w:start="0" w:end="0"/>
        <w:rPr/>
      </w:pPr>
      <w:r>
        <w:rPr/>
      </w:r>
    </w:p>
    <w:p>
      <w:pPr>
        <w:pStyle w:val="BodyTextIndent"/>
        <w:ind w:hanging="0" w:start="0" w:end="0"/>
        <w:rPr/>
      </w:pPr>
      <w:r>
        <w:drawing>
          <wp:anchor behindDoc="0" distT="0" distB="0" distL="114935" distR="114935" simplePos="0" locked="0" layoutInCell="0" allowOverlap="1" relativeHeight="26">
            <wp:simplePos x="0" y="0"/>
            <wp:positionH relativeFrom="column">
              <wp:posOffset>594360</wp:posOffset>
            </wp:positionH>
            <wp:positionV relativeFrom="paragraph">
              <wp:posOffset>1287780</wp:posOffset>
            </wp:positionV>
            <wp:extent cx="4937760" cy="337439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4937760" cy="3374390"/>
                    </a:xfrm>
                    <a:prstGeom prst="rect">
                      <a:avLst/>
                    </a:prstGeom>
                    <a:noFill/>
                  </pic:spPr>
                </pic:pic>
              </a:graphicData>
            </a:graphic>
          </wp:anchor>
        </w:drawing>
      </w:r>
      <w:r>
        <w:rPr/>
        <w:t>Even over the period September 1, 1999 to August 31, 2000, when market prices were strong and prices were for the most part capped at  $750/MWh, a hypothetical peaking  unit would have been unlikely to provide a market return on equity capital (Figure 1).</w:t>
      </w:r>
      <w:r>
        <w:rPr>
          <w:rStyle w:val="FootnoteCharacters"/>
          <w:rStyle w:val="FootnoteReference"/>
        </w:rPr>
        <w:footnoteReference w:id="22"/>
      </w:r>
      <w:r>
        <w:rPr/>
        <w:t xml:space="preserve">   Although historical prices during this period were strong, the hypothetical unit analyzed would have run only 14% of the time, and this fact explains why capital recovery must occur over a relatively small number of hours.  Any price cap lower than $750/MHh--had it been in effect during this period--would have made this peaking project significantly less profitable.  At a cap of $500/MWh, annual equity returns would have gone negative. </w:t>
      </w:r>
    </w:p>
    <w:p>
      <w:pPr>
        <w:pStyle w:val="BodyTextIndent"/>
        <w:ind w:hanging="0" w:start="0" w:end="0"/>
        <w:rPr/>
      </w:pPr>
      <w:r>
        <w:rPr/>
      </w:r>
    </w:p>
    <w:p>
      <w:pPr>
        <w:pStyle w:val="BodyTextIndent"/>
        <w:ind w:hanging="0" w:start="0" w:end="0"/>
        <w:rPr/>
      </w:pPr>
      <w:r>
        <w:rPr/>
      </w:r>
    </w:p>
    <w:p>
      <w:pPr>
        <w:pStyle w:val="BodyTextIndent"/>
        <w:ind w:hanging="0" w:start="0" w:end="0"/>
        <w:rPr/>
      </w:pPr>
      <w:r>
        <w:rPr/>
        <w:t>Proponents of price caps may argue that, because the cap does not apply to forward markets,  buyers will be free to contract for  peaking resources in the forward markets.  Forward markets tend to reflect the replacement cost of baseload and intermediate resources and therefore provide insufficient incentive to build peakers absent separate capacity contracts.   However, the existence of a price cap will continue the incentive for buyers to wait until real time markets.</w:t>
      </w:r>
      <w:r>
        <w:rPr>
          <w:rStyle w:val="FootnoteCharacters"/>
          <w:rStyle w:val="FootnoteReference"/>
        </w:rPr>
        <w:footnoteReference w:id="23"/>
      </w:r>
      <w:r>
        <w:rPr/>
        <w:t xml:space="preserve">   If the buyer is lucky, they will procure peaking resources at a cost less than replacement costs.  If they are not so lucky they will be forced to involuntarily curtail customers.  </w:t>
      </w:r>
    </w:p>
    <w:p>
      <w:pPr>
        <w:pStyle w:val="BodyTextIndent"/>
        <w:ind w:hanging="0" w:start="0" w:end="0"/>
        <w:rPr/>
      </w:pPr>
      <w:r>
        <w:rPr/>
      </w:r>
    </w:p>
    <w:p>
      <w:pPr>
        <w:pStyle w:val="BodyTextIndent"/>
        <w:ind w:hanging="0" w:start="0" w:end="0"/>
        <w:rPr>
          <w:b/>
        </w:rPr>
      </w:pPr>
      <w:r>
        <w:rPr>
          <w:b/>
        </w:rPr>
        <w:t xml:space="preserve">Q.  </w:t>
        <w:tab/>
        <w:t xml:space="preserve">How Will Suppliers that Operate in the Entire WSCC Respond to Price Caps Imposed Only on the California Market? </w:t>
      </w:r>
    </w:p>
    <w:p>
      <w:pPr>
        <w:pStyle w:val="Normal"/>
        <w:rPr>
          <w:b/>
          <w:sz w:val="24"/>
        </w:rPr>
      </w:pPr>
      <w:r>
        <w:rPr>
          <w:b/>
          <w:sz w:val="24"/>
        </w:rPr>
      </w:r>
    </w:p>
    <w:p>
      <w:pPr>
        <w:pStyle w:val="Normal"/>
        <w:rPr/>
      </w:pPr>
      <w:r>
        <w:rPr>
          <w:sz w:val="24"/>
        </w:rPr>
        <w:t>A.</w:t>
        <w:tab/>
        <w:t xml:space="preserve">Price caps will push generation to other Western markets including Canada.    As demonstrated this past summer, high electricity demand led to correspondingly high prices, not just in California, but also in the wider western interconnected system. The ISO’s Department of Market Analysis (DMA) of the California ISO has noted that these markets play a pivotal role in California’s energy markets during tight supply and demand conditions in that </w:t>
      </w:r>
      <w:r>
        <w:rPr>
          <w:i/>
          <w:sz w:val="24"/>
        </w:rPr>
        <w:t>“the development of regional market hubs in which merchant generators may sell electricity – also increase the opportunity cost (and decreases the supply) of power within California available to meet demand.”</w:t>
      </w:r>
      <w:r>
        <w:rPr>
          <w:rStyle w:val="FootnoteCharacters"/>
          <w:rStyle w:val="FootnoteReference"/>
          <w:sz w:val="24"/>
          <w:lang w:val="en-CA"/>
        </w:rPr>
        <w:footnoteReference w:id="24"/>
      </w:r>
      <w:r>
        <w:rPr>
          <w:sz w:val="24"/>
        </w:rPr>
        <w:t xml:space="preserve"> These trends will continue and will be reinforced, if prices in California are maintained at artificially low levels. That is, given higher prices elsewhere, generating unit will have every incentive to export power into more attractive regional markets.</w:t>
      </w:r>
    </w:p>
    <w:p>
      <w:pPr>
        <w:pStyle w:val="BodyTextIndent"/>
        <w:ind w:hanging="0" w:start="0" w:end="0"/>
        <w:rPr>
          <w:sz w:val="24"/>
        </w:rPr>
      </w:pPr>
      <w:r>
        <w:rPr>
          <w:sz w:val="24"/>
        </w:rPr>
      </w:r>
    </w:p>
    <w:p>
      <w:pPr>
        <w:pStyle w:val="BodyText"/>
        <w:rPr>
          <w:b/>
          <w:i w:val="false"/>
          <w:i w:val="false"/>
        </w:rPr>
      </w:pPr>
      <w:r>
        <w:rPr>
          <w:b/>
          <w:i w:val="false"/>
        </w:rPr>
        <w:t>Q.  Do you agree, as the Commission Asserts, that a $150/MWh soft cap is Sufficiently High to Allow Most Generators Sufficient Margin to Earn a Reasonable Profit?</w:t>
      </w:r>
    </w:p>
    <w:p>
      <w:pPr>
        <w:pStyle w:val="Normal"/>
        <w:rPr>
          <w:b/>
          <w:i/>
          <w:i/>
          <w:sz w:val="24"/>
        </w:rPr>
      </w:pPr>
      <w:r>
        <w:rPr>
          <w:b/>
          <w:i/>
          <w:sz w:val="24"/>
        </w:rPr>
      </w:r>
    </w:p>
    <w:p>
      <w:pPr>
        <w:pStyle w:val="BodyText3"/>
        <w:rPr/>
      </w:pPr>
      <w:r>
        <w:rPr/>
        <w:t xml:space="preserve">No.  The Commission Order fails to fully acknowledge that running costs above $150/MWh are now commonplace.  The Commission quotes the Staff Report in noting that peak demand </w:t>
      </w:r>
      <w:r>
        <w:rPr>
          <w:i/>
        </w:rPr>
        <w:t xml:space="preserve">running </w:t>
      </w:r>
      <w:r>
        <w:rPr/>
        <w:t>costs can be in the range of $160/MWh to $200/MWh and the PX’s cost estimates in the range of $500/MWh for some units.</w:t>
      </w:r>
      <w:r>
        <w:rPr>
          <w:rStyle w:val="FootnoteCharacters"/>
          <w:rStyle w:val="FootnoteReference"/>
        </w:rPr>
        <w:footnoteReference w:id="25"/>
      </w:r>
      <w:r>
        <w:rPr/>
        <w:t xml:space="preserve">  That is, there are many generating units in the California market, which would not even recover variable operating costs, let alone start-up and fixed costs, under a $150/MWh price cap.   These costs should be reflected in setting any sort of soft cap.  </w:t>
      </w:r>
    </w:p>
    <w:p>
      <w:pPr>
        <w:pStyle w:val="BodyText3"/>
        <w:rPr/>
      </w:pPr>
      <w:r>
        <w:rPr/>
        <w:t xml:space="preserve"> </w:t>
      </w:r>
    </w:p>
    <w:p>
      <w:pPr>
        <w:pStyle w:val="Normal"/>
        <w:rPr/>
      </w:pPr>
      <w:r>
        <w:rPr>
          <w:sz w:val="24"/>
        </w:rPr>
        <w:t>More generally, the emphasis by the Commission on running costs highlights that generating units are not expected to recover their fixed costs over the coming two years. In arguing for a $750/MWh price cap earlier this year, the California ISO’s Department of Market Analysis (‘DMA’) concluded that at this level of price cap, the two types of (gas fired) units considered only would be ‘marginal’ in SP15.</w:t>
      </w:r>
      <w:r>
        <w:rPr>
          <w:rStyle w:val="FootnoteCharacters"/>
          <w:rStyle w:val="FootnoteReference"/>
          <w:sz w:val="24"/>
        </w:rPr>
        <w:footnoteReference w:id="26"/>
      </w:r>
      <w:r>
        <w:rPr>
          <w:sz w:val="24"/>
        </w:rPr>
        <w:t xml:space="preserve"> Even so, the DMA’s analysis did not take into account the doubling of gas prices between June 1999 and July 2000 and the more than five-fold increase in the cost of emissions permits that eventuated in California during the summer of 2000.</w:t>
      </w:r>
    </w:p>
    <w:p>
      <w:pPr>
        <w:pStyle w:val="Heading2"/>
        <w:ind w:hanging="0" w:start="0"/>
        <w:rPr/>
      </w:pPr>
      <w:r>
        <w:rPr/>
      </w:r>
    </w:p>
    <w:p>
      <w:pPr>
        <w:pStyle w:val="Normal"/>
        <w:rPr>
          <w:b/>
          <w:sz w:val="24"/>
        </w:rPr>
      </w:pPr>
      <w:r>
        <w:rPr>
          <w:b/>
          <w:sz w:val="24"/>
        </w:rPr>
        <w:t xml:space="preserve">Q.  </w:t>
        <w:tab/>
        <w:t>More specifically, do you Agree That the “$150 figure will accommodate these marginal running costs for a combined cycle generating unit and permits some contribution to fixed costs.”?</w:t>
      </w:r>
      <w:r>
        <w:rPr>
          <w:rStyle w:val="FootnoteCharacters"/>
          <w:rStyle w:val="FootnoteReference"/>
          <w:b/>
          <w:sz w:val="24"/>
        </w:rPr>
        <w:footnoteReference w:id="27"/>
      </w:r>
    </w:p>
    <w:p>
      <w:pPr>
        <w:pStyle w:val="Normal"/>
        <w:rPr>
          <w:b/>
          <w:sz w:val="24"/>
        </w:rPr>
      </w:pPr>
      <w:r>
        <w:rPr>
          <w:b/>
          <w:sz w:val="24"/>
        </w:rPr>
      </w:r>
    </w:p>
    <w:p>
      <w:pPr>
        <w:pStyle w:val="Normal"/>
        <w:rPr/>
      </w:pPr>
      <w:r>
        <w:rPr>
          <w:sz w:val="24"/>
        </w:rPr>
        <w:t>A.   No.   In its support of its selection of a $150/MWh as a reasonable level for a soft cap, the  Commission estimates adequate margin contribution receiving a price at the soft cap for a combined cycle unit running, assuming a capacity factor as high as 33% and with an investment horizon (payback period) as long as 30 years.  Although Enron commends the Commission for having “done the math,”  staff’s choice of assumptions lead to an underestimate of the true cost of generation capacity and, therefore, over estimate margin contribution at a $150/MWh cap.</w:t>
      </w:r>
      <w:r>
        <w:rPr>
          <w:rStyle w:val="FootnoteCharacters"/>
          <w:rStyle w:val="FootnoteReference"/>
          <w:sz w:val="24"/>
        </w:rPr>
        <w:footnoteReference w:id="28"/>
      </w:r>
      <w:r>
        <w:rPr>
          <w:sz w:val="24"/>
        </w:rPr>
        <w:t xml:space="preserve"> First and foremost, the Commission errs in selecting a combined cycle resource in its calculation in light of California’s resource needs.  The cap should not be set at a level to discourage the acquisition of new peaking resources.  These resoruces operate at low capacity factors—below 15%.  Second, as noted above, the cost of peaking resources built near load center cost in the range of $900/kW installed, far higher than the costs the Commission has assumed.  Third, the Commission’s analysis appears to ignore fixed and variable O&amp;M.  These costs can add approximately $20/MWh to the “all in” cost of running a peaking resource.   </w:t>
      </w:r>
    </w:p>
    <w:p>
      <w:pPr>
        <w:pStyle w:val="Normal"/>
        <w:rPr>
          <w:sz w:val="24"/>
        </w:rPr>
      </w:pPr>
      <w:r>
        <w:rPr>
          <w:sz w:val="24"/>
        </w:rPr>
      </w:r>
    </w:p>
    <w:p>
      <w:pPr>
        <w:pStyle w:val="Normal"/>
        <w:rPr>
          <w:sz w:val="24"/>
        </w:rPr>
      </w:pPr>
      <w:r>
        <w:rPr>
          <w:sz w:val="24"/>
        </w:rPr>
        <w:t>If the Commission’s assumptions are corrected, an “all in” cost of peaking resources would be as follows:</w:t>
      </w:r>
    </w:p>
    <w:p>
      <w:pPr>
        <w:pStyle w:val="Normal"/>
        <w:rPr>
          <w:sz w:val="24"/>
        </w:rPr>
      </w:pPr>
      <w:r>
        <w:rPr>
          <w:sz w:val="24"/>
        </w:rPr>
      </w:r>
    </w:p>
    <w:p>
      <w:pPr>
        <w:pStyle w:val="Normal"/>
        <w:rPr>
          <w:sz w:val="24"/>
        </w:rPr>
      </w:pPr>
      <w:r>
        <w:rPr>
          <w:sz w:val="24"/>
        </w:rPr>
      </w:r>
    </w:p>
    <w:p>
      <w:pPr>
        <w:pStyle w:val="Normal"/>
        <w:rPr/>
      </w:pPr>
      <w:r>
        <w:rPr/>
        <w:t>Table 1. Commission Staff’s Example of All-In Cost of Power Adjusted</w:t>
      </w:r>
    </w:p>
    <w:tbl>
      <w:tblPr>
        <w:tblW w:w="4530" w:type="dxa"/>
        <w:jc w:val="start"/>
        <w:tblInd w:w="0" w:type="dxa"/>
        <w:tblLayout w:type="fixed"/>
        <w:tblCellMar>
          <w:top w:w="0" w:type="dxa"/>
          <w:start w:w="30" w:type="dxa"/>
          <w:bottom w:w="0" w:type="dxa"/>
          <w:end w:w="30" w:type="dxa"/>
        </w:tblCellMar>
      </w:tblPr>
      <w:tblGrid>
        <w:gridCol w:w="1560"/>
        <w:gridCol w:w="1530"/>
        <w:gridCol w:w="1440"/>
      </w:tblGrid>
      <w:tr>
        <w:trPr>
          <w:trHeight w:val="427" w:hRule="atLeast"/>
        </w:trPr>
        <w:tc>
          <w:tcPr>
            <w:tcW w:w="15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4"/>
                <w:lang w:eastAsia="en-US"/>
              </w:rPr>
            </w:pPr>
            <w:r>
              <w:rPr>
                <w:color w:val="000000"/>
                <w:sz w:val="24"/>
                <w:lang w:eastAsia="en-US"/>
              </w:rPr>
            </w:r>
          </w:p>
        </w:tc>
        <w:tc>
          <w:tcPr>
            <w:tcW w:w="2970" w:type="dxa"/>
            <w:gridSpan w:val="2"/>
            <w:tcBorders>
              <w:top w:val="single" w:sz="2" w:space="0" w:color="000000"/>
              <w:start w:val="single" w:sz="2" w:space="0" w:color="000000"/>
              <w:bottom w:val="single" w:sz="2" w:space="0" w:color="000000"/>
            </w:tcBorders>
          </w:tcPr>
          <w:p>
            <w:pPr>
              <w:pStyle w:val="Normal"/>
              <w:jc w:val="center"/>
              <w:rPr>
                <w:color w:val="000000"/>
                <w:sz w:val="24"/>
                <w:lang w:eastAsia="en-US"/>
              </w:rPr>
            </w:pPr>
            <w:r>
              <w:rPr>
                <w:color w:val="000000"/>
                <w:sz w:val="24"/>
                <w:lang w:eastAsia="en-US"/>
              </w:rPr>
              <w:t>Total Cost of Power ($/MWh)</w:t>
            </w:r>
          </w:p>
        </w:tc>
        <w:tc>
          <w:tcPr>
            <w:tcW w:w="0" w:type="dxa"/>
            <w:vMerge w:val="continue"/>
            <w:tcBorders>
              <w:top w:val="single" w:sz="2" w:space="0" w:color="000000"/>
              <w:bottom w:val="single" w:sz="2" w:space="0" w:color="000000"/>
              <w:end w:val="single" w:sz="2" w:space="0" w:color="000000"/>
            </w:tcBorders>
          </w:tcPr>
          <w:p>
            <w:pPr>
              <w:pStyle w:val="Normal"/>
              <w:snapToGrid w:val="false"/>
              <w:jc w:val="center"/>
              <w:rPr>
                <w:color w:val="000000"/>
                <w:sz w:val="24"/>
                <w:lang w:eastAsia="en-US"/>
              </w:rPr>
            </w:pPr>
            <w:r>
              <w:rPr>
                <w:color w:val="000000"/>
                <w:sz w:val="24"/>
                <w:lang w:eastAsia="en-US"/>
              </w:rPr>
            </w:r>
          </w:p>
        </w:tc>
      </w:tr>
      <w:tr>
        <w:trPr>
          <w:trHeight w:val="562" w:hRule="atLeast"/>
        </w:trPr>
        <w:tc>
          <w:tcPr>
            <w:tcW w:w="1560" w:type="dxa"/>
            <w:vMerge w:val="restart"/>
            <w:tcBorders>
              <w:top w:val="single" w:sz="2" w:space="0" w:color="000000"/>
              <w:start w:val="single" w:sz="2" w:space="0" w:color="000000"/>
              <w:end w:val="single" w:sz="2" w:space="0" w:color="000000"/>
            </w:tcBorders>
          </w:tcPr>
          <w:p>
            <w:pPr>
              <w:pStyle w:val="Normal"/>
              <w:snapToGrid w:val="false"/>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Payback Period (years)</w:t>
            </w:r>
          </w:p>
        </w:tc>
        <w:tc>
          <w:tcPr>
            <w:tcW w:w="2970" w:type="dxa"/>
            <w:gridSpan w:val="2"/>
            <w:tcBorders>
              <w:top w:val="single" w:sz="2" w:space="0" w:color="000000"/>
              <w:start w:val="single" w:sz="2" w:space="0" w:color="000000"/>
              <w:bottom w:val="single" w:sz="2" w:space="0" w:color="000000"/>
            </w:tcBorders>
          </w:tcPr>
          <w:p>
            <w:pPr>
              <w:pStyle w:val="Normal"/>
              <w:jc w:val="center"/>
              <w:rPr>
                <w:color w:val="000000"/>
                <w:sz w:val="24"/>
                <w:lang w:eastAsia="en-US"/>
              </w:rPr>
            </w:pPr>
            <w:r>
              <w:rPr>
                <w:color w:val="000000"/>
                <w:sz w:val="24"/>
                <w:lang w:eastAsia="en-US"/>
              </w:rPr>
              <w:t>Annual Capacity Factor</w:t>
            </w:r>
          </w:p>
        </w:tc>
      </w:tr>
      <w:tr>
        <w:trPr>
          <w:trHeight w:val="247" w:hRule="atLeast"/>
        </w:trPr>
        <w:tc>
          <w:tcPr>
            <w:tcW w:w="1560" w:type="dxa"/>
            <w:vMerge w:val="continue"/>
            <w:tcBorders>
              <w:top w:val="single" w:sz="2" w:space="0" w:color="000000"/>
              <w:start w:val="single" w:sz="2" w:space="0" w:color="000000"/>
              <w:end w:val="single" w:sz="2" w:space="0" w:color="000000"/>
            </w:tcBorders>
          </w:tcPr>
          <w:p>
            <w:pPr>
              <w:pStyle w:val="Normal"/>
              <w:snapToGrid w:val="false"/>
              <w:jc w:val="end"/>
              <w:rPr>
                <w:color w:val="000000"/>
                <w:sz w:val="24"/>
                <w:lang w:eastAsia="en-US"/>
              </w:rPr>
            </w:pPr>
            <w:r>
              <w:rPr>
                <w:color w:val="000000"/>
                <w:sz w:val="24"/>
                <w:lang w:eastAsia="en-US"/>
              </w:rPr>
            </w:r>
          </w:p>
        </w:tc>
        <w:tc>
          <w:tcPr>
            <w:tcW w:w="15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4"/>
                <w:lang w:eastAsia="en-US"/>
              </w:rPr>
            </w:pPr>
            <w:r>
              <w:rPr>
                <w:color w:val="000000"/>
                <w:sz w:val="24"/>
                <w:lang w:eastAsia="en-US"/>
              </w:rPr>
              <w:t>5%</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4"/>
                <w:lang w:eastAsia="en-US"/>
              </w:rPr>
            </w:pPr>
            <w:r>
              <w:rPr>
                <w:color w:val="000000"/>
                <w:sz w:val="24"/>
                <w:lang w:eastAsia="en-US"/>
              </w:rPr>
              <w:t>15%</w:t>
            </w:r>
          </w:p>
        </w:tc>
      </w:tr>
      <w:tr>
        <w:trPr>
          <w:trHeight w:val="247" w:hRule="atLeast"/>
        </w:trPr>
        <w:tc>
          <w:tcPr>
            <w:tcW w:w="156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4"/>
                <w:lang w:eastAsia="en-US"/>
              </w:rPr>
            </w:pPr>
            <w:r>
              <w:rPr>
                <w:color w:val="000000"/>
                <w:sz w:val="24"/>
                <w:lang w:eastAsia="en-US"/>
              </w:rPr>
              <w:t>5</w:t>
            </w:r>
          </w:p>
        </w:tc>
        <w:tc>
          <w:tcPr>
            <w:tcW w:w="153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838 </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339 </w:t>
            </w:r>
          </w:p>
        </w:tc>
      </w:tr>
      <w:tr>
        <w:trPr>
          <w:trHeight w:val="247" w:hRule="atLeast"/>
        </w:trPr>
        <w:tc>
          <w:tcPr>
            <w:tcW w:w="156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4"/>
                <w:lang w:eastAsia="en-US"/>
              </w:rPr>
            </w:pPr>
            <w:r>
              <w:rPr>
                <w:color w:val="000000"/>
                <w:sz w:val="24"/>
                <w:lang w:eastAsia="en-US"/>
              </w:rPr>
              <w:t>10</w:t>
            </w:r>
          </w:p>
        </w:tc>
        <w:tc>
          <w:tcPr>
            <w:tcW w:w="153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639 </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273 </w:t>
            </w:r>
          </w:p>
        </w:tc>
      </w:tr>
      <w:tr>
        <w:trPr>
          <w:trHeight w:val="247" w:hRule="atLeast"/>
        </w:trPr>
        <w:tc>
          <w:tcPr>
            <w:tcW w:w="156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4"/>
                <w:lang w:eastAsia="en-US"/>
              </w:rPr>
            </w:pPr>
            <w:r>
              <w:rPr>
                <w:color w:val="000000"/>
                <w:sz w:val="24"/>
                <w:lang w:eastAsia="en-US"/>
              </w:rPr>
              <w:t>30</w:t>
            </w:r>
          </w:p>
        </w:tc>
        <w:tc>
          <w:tcPr>
            <w:tcW w:w="153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554 </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245 </w:t>
            </w:r>
          </w:p>
        </w:tc>
      </w:tr>
    </w:tbl>
    <w:p>
      <w:pPr>
        <w:pStyle w:val="Normal"/>
        <w:rPr>
          <w:sz w:val="24"/>
        </w:rPr>
      </w:pPr>
      <w:r>
        <w:rPr>
          <w:sz w:val="24"/>
        </w:rPr>
        <w:t>Assumptions: Installed cost of $900/kW, Variable operating costs of $90/MWh ($50/MWh fuel, $40/MWh emission offsets), Fixed O&amp;M of $40/kW-yr.</w:t>
      </w:r>
    </w:p>
    <w:p>
      <w:pPr>
        <w:pStyle w:val="Normal"/>
        <w:rPr>
          <w:sz w:val="24"/>
        </w:rPr>
      </w:pPr>
      <w:r>
        <w:rPr>
          <w:sz w:val="24"/>
        </w:rPr>
      </w:r>
    </w:p>
    <w:p>
      <w:pPr>
        <w:pStyle w:val="BodyText"/>
        <w:rPr>
          <w:sz w:val="24"/>
        </w:rPr>
      </w:pPr>
      <w:r>
        <w:rPr>
          <w:sz w:val="24"/>
        </w:rPr>
      </w:r>
    </w:p>
    <w:p>
      <w:pPr>
        <w:pStyle w:val="Heading2"/>
        <w:ind w:hanging="0" w:start="0"/>
        <w:rPr>
          <w:b/>
          <w:i w:val="false"/>
          <w:i w:val="false"/>
        </w:rPr>
      </w:pPr>
      <w:r>
        <w:rPr>
          <w:b/>
          <w:i w:val="false"/>
        </w:rPr>
        <w:t>Q.</w:t>
        <w:tab/>
        <w:t>In Light of the Sensitivity of Price to the Level of Demand and Continued Variability in Natural Gas Prices, Is There any Merit to the ISO’s Load-Differentiated Price Cap?</w:t>
      </w:r>
    </w:p>
    <w:p>
      <w:pPr>
        <w:pStyle w:val="Normal"/>
        <w:rPr>
          <w:b/>
          <w:i/>
          <w:i/>
          <w:sz w:val="24"/>
        </w:rPr>
      </w:pPr>
      <w:r>
        <w:rPr>
          <w:b/>
          <w:i/>
          <w:sz w:val="24"/>
        </w:rPr>
      </w:r>
    </w:p>
    <w:p>
      <w:pPr>
        <w:pStyle w:val="Normal"/>
        <w:rPr/>
      </w:pPr>
      <w:r>
        <w:rPr>
          <w:sz w:val="24"/>
        </w:rPr>
        <w:t xml:space="preserve">Price caps, if the must exist at all should exist to mitigate against clearly unacceptable outcomes, they should not try to second guess the market or influence the market in nonpeak periods, where scarcity is not a great concern.  The ISO’s load differentiated cap, which it adopted on on October 26, 2000, attempts to do both and must be rejected.  Although the Commission’s Order renders null and void the ISO’s load-differentiated, </w:t>
      </w:r>
      <w:r>
        <w:rPr>
          <w:rStyle w:val="FootnoteCharacters"/>
          <w:rStyle w:val="FootnoteReference"/>
          <w:sz w:val="24"/>
        </w:rPr>
        <w:footnoteReference w:id="29"/>
      </w:r>
      <w:r>
        <w:rPr>
          <w:sz w:val="24"/>
        </w:rPr>
        <w:t xml:space="preserve"> it is apparently still advocated by small consumer representatives and the Governor of California.</w:t>
      </w:r>
      <w:r>
        <w:rPr>
          <w:rStyle w:val="FootnoteCharacters"/>
          <w:rStyle w:val="FootnoteReference"/>
          <w:sz w:val="24"/>
        </w:rPr>
        <w:footnoteReference w:id="30"/>
      </w:r>
      <w:r>
        <w:rPr>
          <w:sz w:val="24"/>
        </w:rPr>
        <w:t xml:space="preserve">  The key flaw of load differentiated caps is that it ignores any supply side considerations.  The impact of maintenance outages, forced outages, and capacity retirements is totally ignored by this cap.   Although a cap may be designed to mitigate prices only in hours of extreme scarcity, the ISO’s proposed cap attempts to control the market in all hours but subjecting the market to multiple caps that are a function of loads and natural gas prices.   To prevent outages and to promote competitive price discovery, lower caps should not be arbitrarily applied to nonpeak hours.</w:t>
      </w:r>
    </w:p>
    <w:p>
      <w:pPr>
        <w:pStyle w:val="Normal"/>
        <w:rPr>
          <w:sz w:val="24"/>
        </w:rPr>
      </w:pPr>
      <w:r>
        <w:rPr>
          <w:sz w:val="24"/>
        </w:rPr>
      </w:r>
    </w:p>
    <w:p>
      <w:pPr>
        <w:pStyle w:val="Normal"/>
        <w:rPr/>
      </w:pPr>
      <w:r>
        <w:rPr>
          <w:sz w:val="24"/>
        </w:rPr>
        <w:t>Enron emphasizes the severe reliability consequences reinstating the ISO’s load-differentiated cap. As an example, the ISO declared multiple Stage 2 emergencies during the week of November 13.  On November 13,  ISO loads peaked at 32,000 MW, the middle tier of the ISO’s load-differentiated cap proposal.  Beginning of the month gas prices, which would form the basis of the gas index in the cap proposal were.$4.50/MMBtu</w:t>
      </w:r>
      <w:r>
        <w:rPr>
          <w:i/>
          <w:sz w:val="24"/>
        </w:rPr>
        <w:t xml:space="preserve">.  The cap for November 13, 2000 would have been $78/MWh. </w:t>
      </w:r>
      <w:r>
        <w:rPr>
          <w:sz w:val="24"/>
        </w:rPr>
        <w:t>In fact, the day-ahead, on peak PX price on November 13 was $185/MWh.</w:t>
      </w:r>
      <w:r>
        <w:rPr>
          <w:rStyle w:val="FootnoteCharacters"/>
          <w:rStyle w:val="FootnoteReference"/>
          <w:sz w:val="24"/>
        </w:rPr>
        <w:footnoteReference w:id="31"/>
      </w:r>
      <w:r>
        <w:rPr>
          <w:sz w:val="24"/>
        </w:rPr>
        <w:t xml:space="preserve">  The ISO’s ex post (real-time) average, on-peak price as $250/MWh in NP 15 and $214/MWh in SP15. These ISO-called emergencies and high prices are occurring during a “shoulder” period – a time when necessary annual maintenance of large generators is typically planned without threatening the reliability of the system.   However, adding to reduced capacity due to scheduled maintenance were unplanned outages and cold weather which stimulated heating loads.  Daily natural gas prices rose to the $7.00-$8.00/MMBtu range on November 13 (also due in part to cold weather) and rose to even higher levels ($10.00-$15.00/MMBtu) later in the month.  This disparity between the beginning-of-the-month and daily values underscores the inappropriate choice of indices contained in the ISO cap.  Importantly,  ISO’s load differentiated price cap is indexed to Nymex Henry Hub near-month future prices and is, therefore totally insensitive to basis differentials to applicable to Western generators.  With this huge discrepancy between market and capped prices, California in November would have, at best, experienced multiple out-of-market (OOM) calls by the ISO or, at worst, blackouts.</w:t>
      </w:r>
    </w:p>
    <w:p>
      <w:pPr>
        <w:pStyle w:val="Normal"/>
        <w:rPr>
          <w:sz w:val="24"/>
        </w:rPr>
      </w:pPr>
      <w:r>
        <w:rPr>
          <w:sz w:val="24"/>
        </w:rPr>
      </w:r>
    </w:p>
    <w:p>
      <w:pPr>
        <w:pStyle w:val="Normal"/>
        <w:rPr>
          <w:sz w:val="24"/>
        </w:rPr>
      </w:pPr>
      <w:r>
        <w:rPr>
          <w:sz w:val="24"/>
        </w:rPr>
        <w:t>This example underscores that if a cap is deemed necessary by the Commission it  needs to be high enough to incent capacity expansion and be out of the range of reasonable range of operating costs.    Otherwise frequent, year-long reliability emergencies will be faced by California.</w:t>
      </w:r>
    </w:p>
    <w:p>
      <w:pPr>
        <w:pStyle w:val="Normal"/>
        <w:rPr>
          <w:sz w:val="24"/>
        </w:rPr>
      </w:pPr>
      <w:r>
        <w:rPr>
          <w:sz w:val="24"/>
        </w:rPr>
      </w:r>
    </w:p>
    <w:p>
      <w:pPr>
        <w:pStyle w:val="Normal"/>
        <w:numPr>
          <w:ilvl w:val="0"/>
          <w:numId w:val="8"/>
        </w:numPr>
        <w:rPr>
          <w:b/>
          <w:sz w:val="24"/>
        </w:rPr>
      </w:pPr>
      <w:r>
        <w:rPr>
          <w:b/>
          <w:sz w:val="24"/>
        </w:rPr>
        <w:t>In advocating against price caps, are you not arguing that customers should be subjected to unconstrained market prices that have exhibited considerable variability in recent months?</w:t>
      </w:r>
    </w:p>
    <w:p>
      <w:pPr>
        <w:pStyle w:val="Normal"/>
        <w:rPr>
          <w:b/>
          <w:sz w:val="24"/>
        </w:rPr>
      </w:pPr>
      <w:r>
        <w:rPr>
          <w:b/>
          <w:sz w:val="24"/>
        </w:rPr>
      </w:r>
    </w:p>
    <w:p>
      <w:pPr>
        <w:pStyle w:val="Normal"/>
        <w:numPr>
          <w:ilvl w:val="0"/>
          <w:numId w:val="9"/>
        </w:numPr>
        <w:rPr>
          <w:sz w:val="24"/>
        </w:rPr>
      </w:pPr>
      <w:r>
        <w:rPr>
          <w:sz w:val="24"/>
        </w:rPr>
        <w:t>The spot market for a perishable commodity like electricity will always be volatile.  However, consumers do not need price caps to be protected.  They need access to a procurement portfolio that manages volatility through the use of forward contracts.  The Commission recognized this when it stated, “[i]n simplest term, if California IOUs had the option to use forward markets last summer and had chosen to exercise those options to purchase most of their needs, the high spot market prices experienced this summer would have affected only a small portion of wholesale power costs.”</w:t>
      </w:r>
      <w:r>
        <w:rPr>
          <w:rStyle w:val="FootnoteCharacters"/>
          <w:rStyle w:val="FootnoteReference"/>
          <w:sz w:val="24"/>
        </w:rPr>
        <w:footnoteReference w:id="32"/>
      </w:r>
      <w:r>
        <w:rPr>
          <w:sz w:val="24"/>
        </w:rPr>
        <w:t xml:space="preserve"> </w:t>
      </w:r>
    </w:p>
    <w:p>
      <w:pPr>
        <w:pStyle w:val="Normal"/>
        <w:rPr>
          <w:sz w:val="24"/>
        </w:rPr>
      </w:pPr>
      <w:r>
        <w:rPr>
          <w:sz w:val="24"/>
        </w:rPr>
      </w:r>
    </w:p>
    <w:p>
      <w:pPr>
        <w:pStyle w:val="Normal"/>
        <w:ind w:start="360" w:end="0"/>
        <w:rPr/>
      </w:pPr>
      <w:r>
        <w:rPr>
          <w:sz w:val="24"/>
        </w:rPr>
        <w:t>Enron emphasizes that the problem with inadequate forward contracting by the California UDC’s was not a lack of available markets for, or sellers of, forward contracts.  Forward markets in the West are robust and liquid.  Figure [xx] shows that monthly volumes in the WSCC for term</w:t>
      </w:r>
      <w:r>
        <w:rPr>
          <w:rStyle w:val="FootnoteCharacters"/>
          <w:rStyle w:val="FootnoteReference"/>
          <w:sz w:val="24"/>
        </w:rPr>
        <w:footnoteReference w:id="33"/>
      </w:r>
      <w:r>
        <w:rPr>
          <w:sz w:val="24"/>
        </w:rPr>
        <w:t xml:space="preserve"> deals in markets that Enron participates in exceed </w:t>
      </w:r>
      <w:r>
        <w:rPr>
          <w:i/>
          <w:sz w:val="24"/>
        </w:rPr>
        <w:t>40 million MWh</w:t>
      </w:r>
      <w:r>
        <w:rPr>
          <w:sz w:val="24"/>
        </w:rPr>
        <w:t xml:space="preserve"> in most months.  Term deals are especially strong outside of California.  Considering California’s size, the volumes traded with California delivery points are clearly depressed due to the failure of California UDC’s to participate in forward markets.</w:t>
      </w:r>
    </w:p>
    <w:p>
      <w:pPr>
        <w:pStyle w:val="Normal"/>
        <w:ind w:start="360" w:end="0"/>
        <w:rPr>
          <w:sz w:val="24"/>
        </w:rPr>
      </w:pPr>
      <w:r>
        <w:rPr>
          <w:sz w:val="24"/>
        </w:rPr>
      </w:r>
    </w:p>
    <w:p>
      <w:pPr>
        <w:pStyle w:val="Normal"/>
        <w:ind w:start="360" w:end="0"/>
        <w:rPr>
          <w:sz w:val="24"/>
        </w:rPr>
      </w:pPr>
      <w:r>
        <w:rPr>
          <w:sz w:val="24"/>
        </w:rPr>
        <w:t>Other forward markets exist in the West including Nymex futures markets at Palo Verde and the California-Oregon Border (COB) and the PX’s Block Forward Market.  Trading volume on these platforms has been lower  than in the broker market.  Even so, the PX has estimated that customer participation in its block forward market resulted in $706 million for the period May through September 2000.</w:t>
      </w:r>
      <w:r>
        <w:rPr>
          <w:rStyle w:val="FootnoteCharacters"/>
          <w:rStyle w:val="FootnoteReference"/>
          <w:sz w:val="24"/>
        </w:rPr>
        <w:footnoteReference w:id="34"/>
      </w:r>
      <w:r>
        <w:br w:type="page"/>
      </w:r>
    </w:p>
    <w:p>
      <w:pPr>
        <w:pStyle w:val="Normal"/>
        <w:ind w:start="360" w:end="0"/>
        <w:rPr>
          <w:sz w:val="24"/>
        </w:rPr>
      </w:pPr>
      <w:r>
        <w:rPr>
          <w:sz w:val="24"/>
        </w:rPr>
      </w:r>
    </w:p>
    <w:p>
      <w:pPr>
        <w:pStyle w:val="Normal"/>
        <w:numPr>
          <w:ilvl w:val="0"/>
          <w:numId w:val="9"/>
        </w:numPr>
        <w:rPr>
          <w:sz w:val="24"/>
        </w:rPr>
      </w:pPr>
      <w:r>
        <w:rPr>
          <w:sz w:val="24"/>
        </w:rPr>
        <w:object w:dxaOrig="14080" w:dyaOrig="9217">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18pt;margin-top:-21pt;width:482.4pt;height:330.25pt;mso-wrap-distance-left:9.05pt;mso-wrap-distance-right:9.05pt;mso-position-horizontal-relative:text;mso-position-vertical-relative:text" filled="f" o:ole="">
            <v:imagedata r:id="rId4" o:title=""/>
            <w10:wrap type="topAndBottom"/>
          </v:shape>
          <o:OLEObject Type="Embed" ProgID="Excel.Sheet.12" ShapeID="ole_rId3" DrawAspect="Content" ObjectID="_1626109966" r:id="rId3"/>
        </w:object>
      </w:r>
    </w:p>
    <w:p>
      <w:pPr>
        <w:pStyle w:val="Normal"/>
        <w:numPr>
          <w:ilvl w:val="0"/>
          <w:numId w:val="9"/>
        </w:numPr>
        <w:rPr>
          <w:sz w:val="24"/>
        </w:rPr>
      </w:pPr>
      <w:r>
        <w:rPr>
          <w:sz w:val="24"/>
        </w:rPr>
        <w:t>der says it well on p. 23, fn 44:   [copy text of footnote here]</w:t>
      </w:r>
    </w:p>
    <w:p>
      <w:pPr>
        <w:pStyle w:val="Normal"/>
        <w:rPr>
          <w:sz w:val="24"/>
        </w:rPr>
      </w:pPr>
      <w:r>
        <w:rPr>
          <w:sz w:val="24"/>
        </w:rPr>
      </w:r>
    </w:p>
    <w:p>
      <w:pPr>
        <w:pStyle w:val="Normal"/>
        <w:rPr>
          <w:i/>
          <w:i/>
          <w:sz w:val="24"/>
        </w:rPr>
      </w:pPr>
      <w:r>
        <w:rPr>
          <w:i/>
          <w:sz w:val="24"/>
        </w:rPr>
      </w:r>
    </w:p>
    <w:p>
      <w:pPr>
        <w:pStyle w:val="Normal"/>
        <w:numPr>
          <w:ilvl w:val="0"/>
          <w:numId w:val="3"/>
        </w:numPr>
        <w:rPr>
          <w:b/>
          <w:sz w:val="24"/>
        </w:rPr>
      </w:pPr>
      <w:r>
        <w:rPr>
          <w:b/>
          <w:sz w:val="24"/>
        </w:rPr>
        <w:t>To conclude, what position do you recommend the Commission take with respect to price caps?</w:t>
      </w:r>
    </w:p>
    <w:p>
      <w:pPr>
        <w:pStyle w:val="Normal"/>
        <w:rPr>
          <w:b/>
          <w:sz w:val="24"/>
        </w:rPr>
      </w:pPr>
      <w:r>
        <w:rPr>
          <w:b/>
          <w:sz w:val="24"/>
        </w:rPr>
      </w:r>
    </w:p>
    <w:p>
      <w:pPr>
        <w:pStyle w:val="Normal"/>
        <w:rPr>
          <w:sz w:val="24"/>
        </w:rPr>
      </w:pPr>
      <w:r>
        <w:rPr>
          <w:sz w:val="24"/>
        </w:rPr>
        <w:t xml:space="preserve">A. </w:t>
        <w:tab/>
        <w:t xml:space="preserve">Electric power remains a contestable, competitive market.  Nothing that has occurred over the last seven months would sway a rationale analyst from that conclusion.  Attempts to manipulate market price outcomes in the face of real supply and demand pressures over any length of time are a destined for failure, and the analysis above on current operating costs and expected market responses foreshadow such failures. In the short term, suppliers will be encouraged to submit offers in other markets, especially due to the proposed ambiguous reporting requirements and the threat of refunds. In the longer term, the prospect of continued regulatory intervention will undermine investment. The very low level of the price cap proposed by the Commission reinforces these detrimental effects. A level of $150/MWh is not reflective of generating costs when supply is short, and is not sustainable over a longer-term planning horizon. </w:t>
      </w:r>
    </w:p>
    <w:p>
      <w:pPr>
        <w:pStyle w:val="Normal"/>
        <w:rPr>
          <w:sz w:val="24"/>
        </w:rPr>
      </w:pPr>
      <w:r>
        <w:rPr>
          <w:sz w:val="24"/>
        </w:rPr>
      </w:r>
    </w:p>
    <w:p>
      <w:pPr>
        <w:pStyle w:val="Normal"/>
        <w:rPr>
          <w:sz w:val="24"/>
        </w:rPr>
      </w:pPr>
      <w:r>
        <w:rPr>
          <w:sz w:val="24"/>
        </w:rPr>
        <w:t xml:space="preserve">Enron recognizes that there are significant pressures for limiting prices in the California market and that it may find it necessary to intervene so as to maintain confidence in the market.  Any such  measures must be strictly time limited to assist the transition process to further structural reform. Price caps must also be set at realistic levels, so that the functioning of the California energy markets is not undermined further. Even in the short term, soft cap set at a level of $150/MWh will result in significant disruption and the ‘flight’ of resources to other markets. At a minimum, price caps should be set at a level of $250/MWh and subject to review at the latest in the summer of 2001. </w:t>
      </w:r>
    </w:p>
    <w:p>
      <w:pPr>
        <w:pStyle w:val="Normal"/>
        <w:rPr>
          <w:sz w:val="24"/>
        </w:rPr>
      </w:pPr>
      <w:r>
        <w:rPr>
          <w:sz w:val="24"/>
        </w:rPr>
      </w:r>
    </w:p>
    <w:p>
      <w:pPr>
        <w:pStyle w:val="Normal"/>
        <w:rPr>
          <w:sz w:val="24"/>
        </w:rPr>
      </w:pPr>
      <w:r>
        <w:rPr>
          <w:sz w:val="24"/>
        </w:rPr>
        <w:t xml:space="preserve"> </w:t>
      </w:r>
    </w:p>
    <w:p>
      <w:pPr>
        <w:pStyle w:val="Normal"/>
        <w:numPr>
          <w:ilvl w:val="0"/>
          <w:numId w:val="13"/>
        </w:numPr>
        <w:rPr>
          <w:sz w:val="24"/>
        </w:rPr>
      </w:pPr>
      <w:r>
        <w:rPr>
          <w:b/>
          <w:sz w:val="24"/>
        </w:rPr>
        <w:t xml:space="preserve">What are the economic consequences of an extended refund-effective period? </w:t>
      </w:r>
    </w:p>
    <w:p>
      <w:pPr>
        <w:pStyle w:val="Normal"/>
        <w:rPr>
          <w:sz w:val="24"/>
        </w:rPr>
      </w:pPr>
      <w:r>
        <w:rPr>
          <w:sz w:val="24"/>
        </w:rPr>
      </w:r>
    </w:p>
    <w:p>
      <w:pPr>
        <w:pStyle w:val="Normal"/>
        <w:rPr/>
      </w:pPr>
      <w:r>
        <w:rPr>
          <w:sz w:val="24"/>
        </w:rPr>
        <w:t>A.</w:t>
        <w:tab/>
        <w:t xml:space="preserve">Refund liability and reporting requirements will impact reliability and impose real costs on consumers.  Enron interprets the Order to state that </w:t>
      </w:r>
      <w:r>
        <w:rPr>
          <w:i/>
          <w:sz w:val="24"/>
        </w:rPr>
        <w:t>all</w:t>
      </w:r>
      <w:r>
        <w:rPr>
          <w:sz w:val="24"/>
        </w:rPr>
        <w:t xml:space="preserve"> bids—not just those above $150/MWh--are subject to refund risk.  Accordingly, even if the market clearing price is at or below at the soft cap, that price could subsequently be deemed to be unreasonable and all of the accepted bidders in the auction could be subject to refund.  This level of risk is simply untenable.  The Commission should at the very least identify a safe harbor.  In addition, as discussed below, refunds would be inequitable. [needs more]</w:t>
      </w:r>
    </w:p>
    <w:p>
      <w:pPr>
        <w:pStyle w:val="Normal"/>
        <w:rPr>
          <w:sz w:val="24"/>
        </w:rPr>
      </w:pPr>
      <w:r>
        <w:rPr>
          <w:sz w:val="24"/>
        </w:rPr>
      </w:r>
    </w:p>
    <w:p>
      <w:pPr>
        <w:pStyle w:val="BodyText2"/>
        <w:rPr/>
      </w:pPr>
      <w:r>
        <w:rPr>
          <w:rPrChange w:id="0" w:author="Unknown Author" w:date="0-00-00T00:00:00Z"/>
        </w:rPr>
        <w:t>Q.</w:t>
        <w:tab/>
        <w:t>What are the cost and reliability consequences of the soft cap and reporting requirements?</w:t>
      </w:r>
    </w:p>
    <w:p>
      <w:pPr>
        <w:pStyle w:val="Normal"/>
        <w:rPr>
          <w:sz w:val="24"/>
        </w:rPr>
      </w:pPr>
      <w:r>
        <w:rPr>
          <w:sz w:val="24"/>
        </w:rPr>
      </w:r>
    </w:p>
    <w:p>
      <w:pPr>
        <w:pStyle w:val="Normal"/>
        <w:rPr/>
      </w:pPr>
      <w:r>
        <w:rPr>
          <w:sz w:val="24"/>
        </w:rPr>
        <w:t>A.</w:t>
        <w:tab/>
        <w:t>The Order requires that all transactions above $150/MWh  be documented in terms of incremental generation cost.  The Order does allow such costs to include “legitimate opportunity costs that are known and verifiable that the seller considered in developing its bid, i.e., prior to the transaction.”</w:t>
      </w:r>
      <w:r>
        <w:rPr>
          <w:rStyle w:val="FootnoteCharacters"/>
          <w:sz w:val="24"/>
          <w:lang w:val="en-CA"/>
        </w:rPr>
        <w:t xml:space="preserve"> </w:t>
      </w:r>
      <w:r>
        <w:rPr>
          <w:rStyle w:val="FootnoteCharacters"/>
          <w:rStyle w:val="FootnoteReference"/>
          <w:sz w:val="24"/>
          <w:lang w:val="en-CA"/>
        </w:rPr>
        <w:footnoteReference w:id="35"/>
      </w:r>
      <w:r>
        <w:rPr>
          <w:sz w:val="24"/>
        </w:rPr>
        <w:t xml:space="preserve">  However, this standard will put suppliers that bid above $150/MWh at significant risk because of the verification requirement and the dearth of FERC precedent about of what constitutes “opportunity cost.”  Generators and marketers have already begun shying away form the California market.   Enron recommends holding to its existing standard that allows generators market-based rate authority upon a showing of no market power.  This authority does not require the cost data proposed by the Order.  To the extent that cost reporting is imposed, however, the Commission must clearly define “incremental generation costs” and “opportunity costs.” </w:t>
      </w:r>
    </w:p>
    <w:p>
      <w:pPr>
        <w:pStyle w:val="Normal"/>
        <w:rPr>
          <w:sz w:val="24"/>
        </w:rPr>
      </w:pPr>
      <w:r>
        <w:rPr>
          <w:sz w:val="24"/>
        </w:rPr>
      </w:r>
    </w:p>
    <w:p>
      <w:pPr>
        <w:pStyle w:val="BodyTextIndent2"/>
        <w:ind w:start="0" w:end="0"/>
        <w:rPr/>
      </w:pPr>
      <w:r>
        <w:rPr/>
        <w:t>Obviously the current cost of delivered fuel, taxes, operation and maintenance, emission offsets or permits, transmission losses, and transmission usage charges, should be included in incremental generation costs. These costs can estimated via engineering estimates, although the corresponding administrative burden for both the supplier and the Commission will be significant.  However, there are other costs, more difficult to estimate, that must be also be included:</w:t>
      </w:r>
    </w:p>
    <w:p>
      <w:pPr>
        <w:pStyle w:val="Normal"/>
        <w:rPr>
          <w:sz w:val="24"/>
        </w:rPr>
      </w:pPr>
      <w:r>
        <w:rPr>
          <w:sz w:val="24"/>
        </w:rPr>
      </w:r>
    </w:p>
    <w:p>
      <w:pPr>
        <w:pStyle w:val="Normal"/>
        <w:numPr>
          <w:ilvl w:val="0"/>
          <w:numId w:val="10"/>
        </w:numPr>
        <w:rPr>
          <w:sz w:val="24"/>
        </w:rPr>
      </w:pPr>
      <w:r>
        <w:rPr>
          <w:b/>
          <w:sz w:val="24"/>
        </w:rPr>
        <w:t>Startup costs and the cost of supplying noncontiguous schedules.</w:t>
      </w:r>
      <w:r>
        <w:rPr>
          <w:sz w:val="24"/>
        </w:rPr>
        <w:t xml:space="preserve">  A generator must make hourly bids without knowing with certainty what hours it may be awarded. All thermal cycling units have startup costs that must be factored in and recovered over the expected award period.   Some units have ramp rate and minimum run time constraints and thus cannot turn off and on at will or they will have to run in “unawarded” hours and receive the ISO’s “dec” price in those hours.  Thus, an hourly bid must include the expected cost of lost revenue in unawarded hours and make sure that start up costs are recovered over the awarded period.</w:t>
      </w:r>
    </w:p>
    <w:p>
      <w:pPr>
        <w:pStyle w:val="Normal"/>
        <w:rPr>
          <w:sz w:val="24"/>
        </w:rPr>
      </w:pPr>
      <w:r>
        <w:rPr>
          <w:sz w:val="24"/>
        </w:rPr>
      </w:r>
    </w:p>
    <w:p>
      <w:pPr>
        <w:pStyle w:val="Normal"/>
        <w:numPr>
          <w:ilvl w:val="0"/>
          <w:numId w:val="10"/>
        </w:numPr>
        <w:rPr>
          <w:sz w:val="24"/>
        </w:rPr>
      </w:pPr>
      <w:r>
        <w:rPr>
          <w:b/>
          <w:sz w:val="24"/>
        </w:rPr>
        <w:t>Operational problems.</w:t>
      </w:r>
      <w:r>
        <w:rPr>
          <w:sz w:val="24"/>
        </w:rPr>
        <w:t xml:space="preserve">  A generator may experience an unplanned outage between the time it is scheduled in a market and the actual delivery hour.  If the unit trips, it will take the risk that it will pay for make up energy in excess of the cost it bid.  The expected cost of make up power must be included in the bid price.</w:t>
      </w:r>
    </w:p>
    <w:p>
      <w:pPr>
        <w:pStyle w:val="Normal"/>
        <w:rPr>
          <w:sz w:val="24"/>
        </w:rPr>
      </w:pPr>
      <w:r>
        <w:rPr>
          <w:sz w:val="24"/>
        </w:rPr>
      </w:r>
    </w:p>
    <w:p>
      <w:pPr>
        <w:pStyle w:val="Normal"/>
        <w:numPr>
          <w:ilvl w:val="0"/>
          <w:numId w:val="10"/>
        </w:numPr>
        <w:rPr>
          <w:sz w:val="24"/>
        </w:rPr>
      </w:pPr>
      <w:r>
        <w:rPr>
          <w:b/>
          <w:sz w:val="24"/>
        </w:rPr>
        <w:t>Cost of documentation and refund risk.</w:t>
      </w:r>
      <w:r>
        <w:rPr>
          <w:sz w:val="24"/>
        </w:rPr>
        <w:t xml:space="preserve">   Suppliers will need to develop accounting and reporting systems to comply with the Commission’s requirements and these costs factor into the incremental cost of supplying the California market.  Suppliers will also face an asymmetrical refund risk that will add a positive cost to the bid.   If a generator bids too low, it will never receive a refund from customers.  However, if a generator overestimates costs, it will be subject to refund risk--a risk that exists only in California.  Generators include these costs in their decision to participate in the California market.</w:t>
      </w:r>
    </w:p>
    <w:p>
      <w:pPr>
        <w:pStyle w:val="Normal"/>
        <w:rPr>
          <w:sz w:val="24"/>
        </w:rPr>
      </w:pPr>
      <w:r>
        <w:rPr>
          <w:sz w:val="24"/>
        </w:rPr>
      </w:r>
    </w:p>
    <w:p>
      <w:pPr>
        <w:pStyle w:val="Normal"/>
        <w:numPr>
          <w:ilvl w:val="0"/>
          <w:numId w:val="10"/>
        </w:numPr>
        <w:rPr>
          <w:sz w:val="24"/>
        </w:rPr>
      </w:pPr>
      <w:r>
        <w:rPr>
          <w:b/>
          <w:sz w:val="24"/>
        </w:rPr>
        <w:t>Profit.</w:t>
      </w:r>
      <w:r>
        <w:rPr>
          <w:sz w:val="24"/>
        </w:rPr>
        <w:t xml:space="preserve">  If a generator will be paid-as-bid, rather than receive a market-clearing price, it must be allowed to include a reasonable contribution to fixed costs as part of its bid.</w:t>
      </w:r>
    </w:p>
    <w:p>
      <w:pPr>
        <w:pStyle w:val="Normal"/>
        <w:rPr>
          <w:sz w:val="24"/>
        </w:rPr>
      </w:pPr>
      <w:r>
        <w:rPr>
          <w:sz w:val="24"/>
        </w:rPr>
      </w:r>
    </w:p>
    <w:p>
      <w:pPr>
        <w:pStyle w:val="Normal"/>
        <w:rPr>
          <w:sz w:val="24"/>
        </w:rPr>
      </w:pPr>
      <w:r>
        <w:rPr>
          <w:sz w:val="24"/>
        </w:rPr>
      </w:r>
    </w:p>
    <w:p>
      <w:pPr>
        <w:pStyle w:val="Heading2"/>
        <w:ind w:hanging="0" w:start="0"/>
        <w:rPr>
          <w:b/>
          <w:i w:val="false"/>
          <w:i w:val="false"/>
        </w:rPr>
      </w:pPr>
      <w:r>
        <w:rPr>
          <w:b/>
          <w:i w:val="false"/>
        </w:rPr>
        <w:t>Q.</w:t>
        <w:tab/>
        <w:t>What are the problems associated with documenting opportunity costs?</w:t>
      </w:r>
    </w:p>
    <w:p>
      <w:pPr>
        <w:pStyle w:val="Normal"/>
        <w:rPr>
          <w:b/>
          <w:i/>
          <w:i/>
          <w:sz w:val="24"/>
        </w:rPr>
      </w:pPr>
      <w:r>
        <w:rPr>
          <w:b/>
          <w:i/>
          <w:sz w:val="24"/>
        </w:rPr>
      </w:r>
    </w:p>
    <w:p>
      <w:pPr>
        <w:pStyle w:val="BodyTextIndent"/>
        <w:rPr/>
      </w:pPr>
      <w:r>
        <w:rPr/>
        <w:t>A.</w:t>
        <w:tab/>
        <w:t>Opportunity cost is “the next highest value of the resource.”</w:t>
      </w:r>
      <w:r>
        <w:rPr>
          <w:rStyle w:val="FootnoteCharacters"/>
          <w:rStyle w:val="FootnoteReference"/>
        </w:rPr>
        <w:footnoteReference w:id="36"/>
      </w:r>
      <w:r>
        <w:rPr/>
        <w:t xml:space="preserve"> Specifically, opportunity costs is the revenue lost by selling a resource in a particular market and foregoing the opportunity to sell in alternative markets.  Although opportunity cost has a clear economic definition, the problem for the suppliers and the Commission is documenting such costs using verifiable, before-the-fact information in a market that moves very fast. </w:t>
      </w:r>
    </w:p>
    <w:p>
      <w:pPr>
        <w:pStyle w:val="Normal"/>
        <w:rPr>
          <w:sz w:val="24"/>
        </w:rPr>
      </w:pPr>
      <w:r>
        <w:rPr>
          <w:sz w:val="24"/>
        </w:rPr>
      </w:r>
    </w:p>
    <w:p>
      <w:pPr>
        <w:pStyle w:val="Heading1"/>
        <w:ind w:hanging="720" w:start="720" w:end="0"/>
        <w:rPr/>
      </w:pPr>
      <w:r>
        <w:rPr/>
        <w:t>Q.</w:t>
        <w:tab/>
        <w:t>Should opportunity cost be part of incremental generation costs and if so are there problems uniquely related thereto?</w:t>
      </w:r>
    </w:p>
    <w:p>
      <w:pPr>
        <w:pStyle w:val="Normal"/>
        <w:rPr>
          <w:sz w:val="24"/>
        </w:rPr>
      </w:pPr>
      <w:r>
        <w:rPr>
          <w:sz w:val="24"/>
        </w:rPr>
      </w:r>
    </w:p>
    <w:p>
      <w:pPr>
        <w:pStyle w:val="Normal"/>
        <w:rPr/>
      </w:pPr>
      <w:r>
        <w:rPr>
          <w:sz w:val="24"/>
        </w:rPr>
        <w:t>A.</w:t>
        <w:tab/>
        <w:t xml:space="preserve">Yes.  The Commission recognizes that opportunity costs are an essential and important component of incremental generation costs. That is, market participants consider revenue opportunities in parallel regional markets – the wider WSCC – when determining market bids. Opportunity costs arise in different forms and relate to both future profit opportunities, as well as opportunities in other regional power markets. Opportunity costs in the California market are linked with </w:t>
      </w:r>
      <w:r>
        <w:rPr>
          <w:i/>
          <w:sz w:val="24"/>
        </w:rPr>
        <w:t xml:space="preserve">expected </w:t>
      </w:r>
      <w:r>
        <w:rPr>
          <w:sz w:val="24"/>
        </w:rPr>
        <w:t xml:space="preserve">price outcomes elsewhere or in the future.  Whereas, the only third-party verifiable sources of this information are </w:t>
      </w:r>
      <w:r>
        <w:rPr>
          <w:i/>
          <w:sz w:val="24"/>
        </w:rPr>
        <w:t>actual after-the-fact</w:t>
      </w:r>
      <w:r>
        <w:rPr>
          <w:sz w:val="24"/>
        </w:rPr>
        <w:t xml:space="preserve"> prices.  The Commission’s approach effectively relies on a process of second-guessing, whether generators’ expectations in relation to market outcomes would have been “reasonable” or not. This is a formidable task.  Moreover, documenting opportunity costs requires sellers to maintain extensive information about expected price outcomes in a range of current and future markets.  </w:t>
      </w:r>
    </w:p>
    <w:p>
      <w:pPr>
        <w:pStyle w:val="Normal"/>
        <w:rPr>
          <w:sz w:val="24"/>
        </w:rPr>
      </w:pPr>
      <w:r>
        <w:rPr>
          <w:sz w:val="24"/>
        </w:rPr>
      </w:r>
    </w:p>
    <w:p>
      <w:pPr>
        <w:pStyle w:val="Normal"/>
        <w:rPr>
          <w:sz w:val="24"/>
        </w:rPr>
      </w:pPr>
      <w:r>
        <w:rPr>
          <w:sz w:val="24"/>
        </w:rPr>
        <w:t>Alternative markets can vary in terms of geography, term and, in the case of energy-limited resources, the choice of which time period to enter the market:</w:t>
      </w:r>
    </w:p>
    <w:p>
      <w:pPr>
        <w:pStyle w:val="Normal"/>
        <w:rPr>
          <w:sz w:val="24"/>
        </w:rPr>
      </w:pPr>
      <w:r>
        <w:rPr>
          <w:sz w:val="24"/>
        </w:rPr>
      </w:r>
    </w:p>
    <w:p>
      <w:pPr>
        <w:pStyle w:val="Normal"/>
        <w:numPr>
          <w:ilvl w:val="0"/>
          <w:numId w:val="6"/>
        </w:numPr>
        <w:rPr>
          <w:sz w:val="24"/>
        </w:rPr>
      </w:pPr>
      <w:r>
        <w:rPr>
          <w:b/>
          <w:sz w:val="24"/>
        </w:rPr>
        <w:t>Geography.</w:t>
      </w:r>
      <w:r>
        <w:rPr>
          <w:sz w:val="24"/>
        </w:rPr>
        <w:t xml:space="preserve">  In the interconnected WSCC, any generator has the option of selling into a non-California market.  The opportunity cost to any generator is the cost of scheduling generation to an alternative market (e.g. mid-Columbia or Palo Verde), plus incremental transmission costs.  For out-of-state resources, the choice of selling into local markets rather than selling to California is compelling when there are price caps and refund risk.   In-state generators will also find out of state markets to be attractive at times, even after factoring in the cost of transmission.  And regional price caps will not resolve the problem as gnerators can still sell into Canadian markets without a price caps.</w:t>
      </w:r>
    </w:p>
    <w:p>
      <w:pPr>
        <w:pStyle w:val="Normal"/>
        <w:rPr>
          <w:sz w:val="24"/>
        </w:rPr>
      </w:pPr>
      <w:r>
        <w:rPr>
          <w:sz w:val="24"/>
        </w:rPr>
      </w:r>
    </w:p>
    <w:p>
      <w:pPr>
        <w:pStyle w:val="Normal"/>
        <w:numPr>
          <w:ilvl w:val="0"/>
          <w:numId w:val="6"/>
        </w:numPr>
        <w:rPr>
          <w:sz w:val="24"/>
        </w:rPr>
      </w:pPr>
      <w:r>
        <w:rPr>
          <w:b/>
          <w:sz w:val="24"/>
        </w:rPr>
        <w:t>Tenor.</w:t>
      </w:r>
      <w:r>
        <w:rPr>
          <w:sz w:val="24"/>
        </w:rPr>
        <w:t xml:space="preserve">  A generator must choose which market to sell to: forward markets, day-ahead, day-of, or real time.  Documentation of costs and refund risk apparently apply only to spot (nonforward) markets.  However there will be times when a generator will have a market opportunity in a market of one tenor and that opportunity, adjusted for risk and carrying costs, is the opportunity cost for the generator in a spot market.</w:t>
      </w:r>
    </w:p>
    <w:p>
      <w:pPr>
        <w:pStyle w:val="Normal"/>
        <w:rPr>
          <w:sz w:val="24"/>
        </w:rPr>
      </w:pPr>
      <w:r>
        <w:rPr>
          <w:sz w:val="24"/>
        </w:rPr>
      </w:r>
    </w:p>
    <w:p>
      <w:pPr>
        <w:pStyle w:val="Normal"/>
        <w:numPr>
          <w:ilvl w:val="0"/>
          <w:numId w:val="6"/>
        </w:numPr>
        <w:rPr>
          <w:sz w:val="24"/>
        </w:rPr>
      </w:pPr>
      <w:r>
        <w:rPr>
          <w:b/>
          <w:sz w:val="24"/>
        </w:rPr>
        <w:t>Temporal market chosen by an energy-limited resource.</w:t>
      </w:r>
      <w:r>
        <w:rPr>
          <w:sz w:val="24"/>
        </w:rPr>
        <w:t xml:space="preserve">  Hydroelectric resources and other energy-limited resources,</w:t>
      </w:r>
      <w:r>
        <w:rPr>
          <w:rStyle w:val="FootnoteCharacters"/>
          <w:rStyle w:val="FootnoteReference"/>
          <w:sz w:val="24"/>
        </w:rPr>
        <w:footnoteReference w:id="37"/>
      </w:r>
      <w:r>
        <w:rPr>
          <w:sz w:val="24"/>
        </w:rPr>
        <w:t xml:space="preserve"> must trade off between entering a market in one hour or waiting for another hour’s market.  The opportunity cost of a hydroelectric generator is not only its potential revenues of selling to another geographic area but the potential revenues and waiting for another day when the resource is more valuable.  Energy limited resources will have an incentive to bid towards the $150/MWh price cap for a substantial part of the time. These generators will consider the opportunity costs of bids in assessing the trade-offs between running during high- and low-demand periods. When there are energy limits, the legitimate choice for generators is to incorporate foregone revenue opportunities from future high-demand periods in determining bids during low-demand periods. The most likely effect is that prices bid by these generators will remain consistently close to the cap.</w:t>
      </w:r>
    </w:p>
    <w:p>
      <w:pPr>
        <w:pStyle w:val="Normal"/>
        <w:rPr>
          <w:sz w:val="24"/>
        </w:rPr>
      </w:pPr>
      <w:r>
        <w:rPr>
          <w:sz w:val="24"/>
        </w:rPr>
      </w:r>
    </w:p>
    <w:p>
      <w:pPr>
        <w:pStyle w:val="Normal"/>
        <w:ind w:hanging="720" w:start="720" w:end="0"/>
        <w:rPr/>
      </w:pPr>
      <w:r>
        <w:rPr>
          <w:b/>
          <w:sz w:val="24"/>
        </w:rPr>
        <w:t>Q.</w:t>
      </w:r>
      <w:r>
        <w:rPr>
          <w:sz w:val="24"/>
        </w:rPr>
        <w:tab/>
      </w:r>
      <w:r>
        <w:rPr>
          <w:b/>
          <w:sz w:val="24"/>
        </w:rPr>
        <w:t xml:space="preserve">Besides your theoretical assertions, do you have actual proof of the problems of calculating opportunity costs for generators? </w:t>
      </w:r>
    </w:p>
    <w:p>
      <w:pPr>
        <w:pStyle w:val="Normal"/>
        <w:rPr>
          <w:b/>
          <w:sz w:val="24"/>
        </w:rPr>
      </w:pPr>
      <w:r>
        <w:rPr>
          <w:b/>
          <w:sz w:val="24"/>
        </w:rPr>
      </w:r>
    </w:p>
    <w:p>
      <w:pPr>
        <w:pStyle w:val="BodyTextIndent"/>
        <w:rPr/>
      </w:pPr>
      <w:r>
        <w:rPr/>
        <w:t xml:space="preserve">A. </w:t>
        <w:tab/>
        <w:t>Yes.  These characteristics of incremental generation costs and opportunity costs are not theoretical but have already been faced by power generators and marketers since the issuance of the Order on November 1.  Enron Power Marketing Inc. (EPMI) acts as a scheduling coordinator (SC) for generators, utilities, and other marketers in the WSCC who have not made the investment in the systems, processes, or people to manage transactions and settlements with the California ISO and PX.  EPMI thus has direct experience observing the reaction of market participants to the reactions to Commission’s proposed policies.  Some actual examples experienced by EPMI illustrate:</w:t>
      </w:r>
    </w:p>
    <w:p>
      <w:pPr>
        <w:pStyle w:val="Normal"/>
        <w:rPr>
          <w:sz w:val="24"/>
        </w:rPr>
      </w:pPr>
      <w:r>
        <w:rPr>
          <w:sz w:val="24"/>
        </w:rPr>
      </w:r>
    </w:p>
    <w:p>
      <w:pPr>
        <w:pStyle w:val="Heading1"/>
        <w:numPr>
          <w:ilvl w:val="0"/>
          <w:numId w:val="14"/>
        </w:numPr>
        <w:rPr>
          <w:b w:val="false"/>
        </w:rPr>
      </w:pPr>
      <w:r>
        <w:rPr/>
        <w:t xml:space="preserve">Northwest Hydro Generator </w:t>
      </w:r>
      <w:r>
        <w:rPr>
          <w:b w:val="false"/>
        </w:rPr>
        <w:t>A northwest hydro generator purchased a block of Mid-C energy for $110/MWh. The generator, like many northwest hydro generators, has the capability of storing energy daily/monthly/seasonally under differing arrangements and physical system capabilities and selling non-block shapes of energy into Northwest real time markets or California PX or ISO markets. The seller would incur costs of $10-$15 per MWh in transmission, losses, and transactions costs. Because the seller believes holding the energy in its system for a week would result in much higher revenues (based upon weather predictions, unit outages and other factors affecting prices) the seller is interested in selling only if prices are above $160/MWh. This price is the opportunity cost of selling today versus selling next week.   It is, however, based on a probabilistic estimate of the value of its resource held until a later date.  Because of the cost’s probabilistic nature and the lack of clarity with regards to the Commission’s definition of opportunity costs, this generator was reluctant to subject itself to the reporting requirements required of an above $150/MWh bid into California.  Instead, the generator chose to sell at a lower price in the Northwest, avoid reporting and scrutiny, and eliminate refund risk.</w:t>
      </w:r>
    </w:p>
    <w:p>
      <w:pPr>
        <w:pStyle w:val="Normal"/>
        <w:rPr>
          <w:b/>
          <w:sz w:val="24"/>
        </w:rPr>
      </w:pPr>
      <w:r>
        <w:rPr>
          <w:b/>
          <w:sz w:val="24"/>
        </w:rPr>
      </w:r>
    </w:p>
    <w:p>
      <w:pPr>
        <w:pStyle w:val="Heading1"/>
        <w:numPr>
          <w:ilvl w:val="0"/>
          <w:numId w:val="14"/>
        </w:numPr>
        <w:rPr>
          <w:b w:val="false"/>
        </w:rPr>
      </w:pPr>
      <w:r>
        <w:rPr/>
        <w:t xml:space="preserve">In-State California Cycling Generator.  </w:t>
      </w:r>
      <w:r>
        <w:rPr>
          <w:b w:val="false"/>
        </w:rPr>
        <w:t>EPMI acts as an SC for an 87 MW cogenerator located in the SP-15 zone of the ISO control area.  Its effective heat rate, including start-up fuel, is 12,650 Btu/kWh (inclusive of start-up fuel).  The following are the actual expected costs (</w:t>
      </w:r>
      <w:r>
        <w:rPr/>
        <w:t xml:space="preserve">for 11/15/2000) </w:t>
      </w:r>
      <w:r>
        <w:rPr>
          <w:b w:val="false"/>
        </w:rPr>
        <w:t xml:space="preserve"> that factor into a decision of whether to schedule a 10-hour run and submit a bid into the day-ahead PX market: </w:t>
      </w:r>
    </w:p>
    <w:p>
      <w:pPr>
        <w:pStyle w:val="Normal"/>
        <w:rPr>
          <w:b/>
          <w:sz w:val="24"/>
        </w:rPr>
      </w:pPr>
      <w:r>
        <w:rPr>
          <w:b/>
          <w:sz w:val="24"/>
        </w:rPr>
      </w:r>
    </w:p>
    <w:p>
      <w:pPr>
        <w:pStyle w:val="Normal"/>
        <w:rPr/>
      </w:pPr>
      <w:r>
        <w:rPr>
          <w:sz w:val="24"/>
        </w:rPr>
        <w:tab/>
      </w:r>
      <w:r>
        <w:rPr>
          <w:sz w:val="24"/>
          <w:u w:val="single"/>
        </w:rPr>
        <w:t>Variable Cost Summary</w:t>
      </w:r>
    </w:p>
    <w:p>
      <w:pPr>
        <w:pStyle w:val="Normal"/>
        <w:rPr>
          <w:sz w:val="24"/>
        </w:rPr>
      </w:pPr>
      <w:r>
        <w:rPr>
          <w:sz w:val="24"/>
        </w:rPr>
        <w:tab/>
        <w:t>Fuel ($8.73/MMBtu delivered x 12,650 Btu/kWh heat rate)</w:t>
        <w:tab/>
        <w:tab/>
        <w:t>$110/MWh</w:t>
      </w:r>
    </w:p>
    <w:p>
      <w:pPr>
        <w:pStyle w:val="Normal"/>
        <w:rPr>
          <w:sz w:val="24"/>
        </w:rPr>
      </w:pPr>
      <w:r>
        <w:rPr>
          <w:sz w:val="24"/>
        </w:rPr>
        <w:tab/>
        <w:t>Variable Operations and Maintenance</w:t>
        <w:tab/>
        <w:tab/>
        <w:tab/>
        <w:tab/>
        <w:t>$    2/MWh</w:t>
      </w:r>
    </w:p>
    <w:p>
      <w:pPr>
        <w:pStyle w:val="Normal"/>
        <w:rPr>
          <w:sz w:val="24"/>
        </w:rPr>
      </w:pPr>
      <w:r>
        <w:rPr>
          <w:sz w:val="24"/>
        </w:rPr>
        <w:tab/>
        <w:t>NOx opportunity cost @ $45.00/lb</w:t>
        <w:tab/>
        <w:tab/>
        <w:tab/>
        <w:tab/>
        <w:tab/>
        <w:t>$  20/MWh</w:t>
      </w:r>
    </w:p>
    <w:p>
      <w:pPr>
        <w:pStyle w:val="Normal"/>
        <w:ind w:firstLine="720" w:end="0"/>
        <w:rPr>
          <w:sz w:val="24"/>
          <w:u w:val="single"/>
        </w:rPr>
      </w:pPr>
      <w:r>
        <w:rPr>
          <w:sz w:val="24"/>
          <w:u w:val="single"/>
        </w:rPr>
        <w:t>Generator Meter Multiplier (1.15% losses times above costs)</w:t>
        <w:tab/>
        <w:t>$    2/MWh</w:t>
      </w:r>
    </w:p>
    <w:p>
      <w:pPr>
        <w:pStyle w:val="Normal"/>
        <w:rPr>
          <w:sz w:val="24"/>
        </w:rPr>
      </w:pPr>
      <w:r>
        <w:rPr>
          <w:sz w:val="24"/>
        </w:rPr>
        <w:tab/>
        <w:t xml:space="preserve">Total </w:t>
        <w:tab/>
        <w:tab/>
        <w:tab/>
        <w:tab/>
        <w:tab/>
        <w:tab/>
        <w:tab/>
        <w:tab/>
        <w:t xml:space="preserve"> </w:t>
        <w:tab/>
        <w:t>$134/MWh</w:t>
      </w:r>
    </w:p>
    <w:p>
      <w:pPr>
        <w:pStyle w:val="Normal"/>
        <w:rPr>
          <w:sz w:val="24"/>
        </w:rPr>
      </w:pPr>
      <w:r>
        <w:rPr>
          <w:sz w:val="24"/>
        </w:rPr>
      </w:r>
    </w:p>
    <w:p>
      <w:pPr>
        <w:pStyle w:val="Normal"/>
        <w:rPr>
          <w:sz w:val="24"/>
        </w:rPr>
      </w:pPr>
      <w:r>
        <w:rPr>
          <w:sz w:val="24"/>
        </w:rPr>
        <w:tab/>
        <w:t>Desired Operating Margin</w:t>
        <w:tab/>
        <w:t>(15% of variable costs)</w:t>
        <w:tab/>
        <w:tab/>
        <w:t>$  20/MWh</w:t>
      </w:r>
    </w:p>
    <w:p>
      <w:pPr>
        <w:pStyle w:val="Normal"/>
        <w:rPr>
          <w:sz w:val="24"/>
        </w:rPr>
      </w:pPr>
      <w:r>
        <w:rPr>
          <w:sz w:val="24"/>
        </w:rPr>
        <w:tab/>
        <w:t>Risk Margin (see discussion below)</w:t>
        <w:tab/>
        <w:tab/>
        <w:tab/>
        <w:tab/>
        <w:tab/>
        <w:t>$  15/MWh</w:t>
      </w:r>
    </w:p>
    <w:p>
      <w:pPr>
        <w:pStyle w:val="Normal"/>
        <w:rPr>
          <w:sz w:val="24"/>
        </w:rPr>
      </w:pPr>
      <w:r>
        <w:rPr>
          <w:sz w:val="24"/>
        </w:rPr>
        <w:tab/>
        <w:t>Total Minimum Bid</w:t>
        <w:tab/>
        <w:tab/>
        <w:tab/>
        <w:tab/>
        <w:tab/>
        <w:tab/>
        <w:tab/>
        <w:t>$169/MWh</w:t>
      </w:r>
    </w:p>
    <w:p>
      <w:pPr>
        <w:pStyle w:val="Normal"/>
        <w:rPr>
          <w:sz w:val="24"/>
        </w:rPr>
      </w:pPr>
      <w:r>
        <w:rPr>
          <w:sz w:val="24"/>
        </w:rPr>
        <w:tab/>
        <w:t>(numbers do not total due to rounding)</w:t>
      </w:r>
    </w:p>
    <w:p>
      <w:pPr>
        <w:pStyle w:val="Normal"/>
        <w:rPr>
          <w:sz w:val="24"/>
        </w:rPr>
      </w:pPr>
      <w:r>
        <w:rPr>
          <w:sz w:val="24"/>
        </w:rPr>
      </w:r>
    </w:p>
    <w:p>
      <w:pPr>
        <w:pStyle w:val="BodyTextIndent2"/>
        <w:rPr/>
      </w:pPr>
      <w:r>
        <w:rPr/>
        <w:t xml:space="preserve">The Risk Margin is an estimate of the cost of being awarded a non-contiguous schedule or  experiencing a forced outage.   These are very real risks.  For example, the cogenerator  bids in a block of sales at its minimum bid for hours ending 7-22 and gets awarded all hours except for HE 12, 13, 16 and 22 for a total of 12 hours.  Although the awarded hours are sufficient to cover start up costs, it will be uneconomic to turn off in the unawarded hours.  The generator faces the risk of receiving the ISO “dec” price that is below its operating costs in those hours.  These costs must be factored in.    Should the cogenerator face an unexpected outage, it will still be obligated to supply its awarded hours.  This in fact happened for this generator on November 13, 2000.  On that day, the ISO Ex-Post price reached $250/MHh on peak.  Had it been awarded its bid price of $169/MWh, it would have lost money on that day, on the order of $5,000/hour.  For this reason, the cogenerator must factor these expected costs into its bid price. </w:t>
      </w:r>
    </w:p>
    <w:p>
      <w:pPr>
        <w:pStyle w:val="Normal"/>
        <w:rPr>
          <w:sz w:val="24"/>
        </w:rPr>
      </w:pPr>
      <w:r>
        <w:rPr>
          <w:sz w:val="24"/>
        </w:rPr>
      </w:r>
    </w:p>
    <w:p>
      <w:pPr>
        <w:pStyle w:val="BodyText"/>
        <w:ind w:hanging="720" w:start="720" w:end="0"/>
        <w:rPr>
          <w:b/>
          <w:i w:val="false"/>
          <w:i w:val="false"/>
        </w:rPr>
      </w:pPr>
      <w:r>
        <w:rPr>
          <w:b/>
          <w:i w:val="false"/>
        </w:rPr>
        <w:t>Q.</w:t>
        <w:tab/>
        <w:t>Should reasonable limits be imposed on the period transactions remain open to contest during the refund effective period?</w:t>
      </w:r>
    </w:p>
    <w:p>
      <w:pPr>
        <w:pStyle w:val="Normal"/>
        <w:rPr>
          <w:b/>
          <w:i/>
          <w:i/>
          <w:sz w:val="24"/>
        </w:rPr>
      </w:pPr>
      <w:r>
        <w:rPr>
          <w:b/>
          <w:i/>
          <w:sz w:val="24"/>
        </w:rPr>
      </w:r>
    </w:p>
    <w:p>
      <w:pPr>
        <w:pStyle w:val="Normal"/>
        <w:rPr>
          <w:sz w:val="24"/>
        </w:rPr>
      </w:pPr>
      <w:r>
        <w:rPr>
          <w:sz w:val="24"/>
        </w:rPr>
        <w:t>[Tim, Mary:  I need help figuring out what we want to say here: ]</w:t>
      </w:r>
    </w:p>
    <w:p>
      <w:pPr>
        <w:pStyle w:val="Normal"/>
        <w:rPr>
          <w:sz w:val="24"/>
        </w:rPr>
      </w:pPr>
      <w:r>
        <w:rPr>
          <w:sz w:val="24"/>
        </w:rPr>
      </w:r>
    </w:p>
    <w:p>
      <w:pPr>
        <w:pStyle w:val="Normal"/>
        <w:numPr>
          <w:ilvl w:val="0"/>
          <w:numId w:val="7"/>
        </w:numPr>
        <w:rPr>
          <w:b/>
          <w:sz w:val="24"/>
        </w:rPr>
      </w:pPr>
      <w:r>
        <w:rPr>
          <w:sz w:val="24"/>
        </w:rPr>
        <w:t>Yes. Enron strongly supports a 30-day “hold open” window after which any bid not flagged by the Commission Staff would be deemed final and not subject to refund.  This “statute of limitations” is critical for reducing liability costs and facilitating contracting and market liquidity.  Enron would be happy to work with Commission staff to develop an electronic reporting method that would allow for a prompt presentation of documentation to the Commission staff.  The Commission staff must be geared up to provide a 30-day review.  There must be a procedure, such as a review by an ALJ within xx days, to allow for claims of “over flagging” otherwise there may be an incentive to flag all transactions.  Flagged transactions could be subject to further discovery and adjudication with complete resolution within xx days.</w:t>
      </w:r>
    </w:p>
    <w:p>
      <w:pPr>
        <w:pStyle w:val="Normal"/>
        <w:rPr>
          <w:b/>
          <w:sz w:val="24"/>
        </w:rPr>
      </w:pPr>
      <w:r>
        <w:rPr>
          <w:b/>
          <w:sz w:val="24"/>
        </w:rPr>
      </w:r>
    </w:p>
    <w:p>
      <w:pPr>
        <w:pStyle w:val="Normal"/>
        <w:rPr>
          <w:b/>
          <w:sz w:val="24"/>
        </w:rPr>
      </w:pPr>
      <w:r>
        <w:rPr>
          <w:b/>
          <w:sz w:val="24"/>
        </w:rPr>
        <w:t>Q.</w:t>
        <w:tab/>
        <w:t xml:space="preserve">Should the proposed penalty on underscheduling be extended to generators? </w:t>
      </w:r>
    </w:p>
    <w:p>
      <w:pPr>
        <w:pStyle w:val="Normal"/>
        <w:spacing w:before="0" w:after="120"/>
        <w:rPr>
          <w:b/>
          <w:sz w:val="24"/>
        </w:rPr>
      </w:pPr>
      <w:r>
        <w:rPr>
          <w:b/>
          <w:sz w:val="24"/>
        </w:rPr>
      </w:r>
    </w:p>
    <w:p>
      <w:pPr>
        <w:pStyle w:val="Normal"/>
        <w:spacing w:before="0" w:after="120"/>
        <w:ind w:hanging="720" w:start="720" w:end="0"/>
        <w:rPr>
          <w:sz w:val="24"/>
        </w:rPr>
      </w:pPr>
      <w:r>
        <w:rPr>
          <w:sz w:val="24"/>
        </w:rPr>
        <w:t>A.</w:t>
        <w:tab/>
        <w:t xml:space="preserve">No.  </w:t>
      </w:r>
    </w:p>
    <w:p>
      <w:pPr>
        <w:pStyle w:val="Normal"/>
        <w:spacing w:before="0" w:after="120"/>
        <w:ind w:start="720" w:end="0"/>
        <w:rPr>
          <w:sz w:val="24"/>
        </w:rPr>
      </w:pPr>
      <w:r>
        <w:rPr>
          <w:sz w:val="24"/>
        </w:rPr>
        <w:t xml:space="preserve">In general, Enron opposes penalties.  The California ISO tariff already requires Scheduling Coordinators to submit balanced schedules. In practice, the natural variation in demand and supply makes inevitable some variance between schedules and actual market outcomes.  </w:t>
      </w:r>
    </w:p>
    <w:p>
      <w:pPr>
        <w:pStyle w:val="Normal"/>
        <w:spacing w:before="0" w:after="120"/>
        <w:ind w:start="720" w:end="0"/>
        <w:rPr>
          <w:sz w:val="24"/>
        </w:rPr>
      </w:pPr>
      <w:r>
        <w:rPr>
          <w:sz w:val="24"/>
        </w:rPr>
        <w:t xml:space="preserve">However, it is easy to understand why the Commission proposed to impose penalties on load for underscheduling.  Due to the market distortions created by price caps and the utility distribution companies’ (UDCs) monopsony control of load, UDCs have been incented to and have massively underscheduled load and have foregone forward contracts as compared to historical levels.  </w:t>
      </w:r>
    </w:p>
    <w:p>
      <w:pPr>
        <w:pStyle w:val="Normal"/>
        <w:spacing w:before="0" w:after="120"/>
        <w:ind w:start="720" w:end="0"/>
        <w:rPr>
          <w:sz w:val="24"/>
        </w:rPr>
      </w:pPr>
      <w:r>
        <w:rPr>
          <w:sz w:val="24"/>
        </w:rPr>
        <w:t xml:space="preserve">The consensus that load must be moved out of real time is partially addressed by removing regulatory barriers to entering forward markets.  But, as I detail in other places in this paper, to entirely remove the UDC’s monopsony control, the Commission must also remove price caps and level the retail playing field. </w:t>
      </w:r>
    </w:p>
    <w:p>
      <w:pPr>
        <w:pStyle w:val="FaxNormal"/>
        <w:spacing w:before="0" w:after="120"/>
        <w:jc w:val="start"/>
        <w:rPr/>
      </w:pPr>
      <w:r>
        <w:rPr>
          <w:rFonts w:cs="Times New Roman" w:ascii="Times New Roman" w:hAnsi="Times New Roman"/>
          <w:sz w:val="24"/>
        </w:rPr>
        <w:t>The Commission is correct, however, in focusing on load and not generation.  Understanding why this focus is correct lies in the process by which the ISO provides reliability.  When it comes to the reliable operation of electric systems, it is much easier to turn an unneeded power plant off than it is to build one in a day.  For this reason there should be no disincentives placed on allowing generators to supply power in the BEEP stack, which is the ISO’s source of real-time power.  A liquid real-time energy market, which implies a full BEEP stack, is necessary for short-run efficiency, especially with respect to the ISO’s ancillary services protocol.</w:t>
      </w:r>
      <w:r>
        <w:rPr>
          <w:rStyle w:val="FootnoteCharacters"/>
          <w:rStyle w:val="FootnoteReference"/>
          <w:rFonts w:cs="Times New Roman" w:ascii="Times New Roman" w:hAnsi="Times New Roman"/>
          <w:sz w:val="24"/>
        </w:rPr>
        <w:footnoteReference w:id="38"/>
      </w:r>
      <w:r>
        <w:rPr>
          <w:rFonts w:cs="Times New Roman" w:ascii="Times New Roman" w:hAnsi="Times New Roman"/>
          <w:sz w:val="24"/>
        </w:rPr>
        <w:t xml:space="preserve"> </w:t>
      </w:r>
    </w:p>
    <w:p>
      <w:pPr>
        <w:pStyle w:val="FaxNormal"/>
        <w:spacing w:before="0" w:after="120"/>
        <w:jc w:val="start"/>
        <w:rPr>
          <w:rFonts w:ascii="Times New Roman" w:hAnsi="Times New Roman" w:cs="Times New Roman"/>
          <w:sz w:val="24"/>
        </w:rPr>
      </w:pPr>
      <w:r>
        <w:rPr>
          <w:rFonts w:cs="Times New Roman" w:ascii="Times New Roman" w:hAnsi="Times New Roman"/>
          <w:sz w:val="24"/>
        </w:rPr>
        <w:t xml:space="preserve">Penalties for generation imbalances will give generators an incentive to sell real-time power in other markets.  This could increase the need for the ISO to make out-of-market calls.  Further, a penalty on generation is simply redundant because if a penalty is placed on load, SC’s will have an incentive to pull power out of real time and into day-ahead or forward markets.  </w:t>
      </w:r>
    </w:p>
    <w:p>
      <w:pPr>
        <w:pStyle w:val="FaxNormal"/>
        <w:spacing w:before="0" w:after="120"/>
        <w:jc w:val="start"/>
        <w:rPr/>
      </w:pPr>
      <w:r>
        <w:rPr>
          <w:rFonts w:cs="Times New Roman" w:ascii="Times New Roman" w:hAnsi="Times New Roman"/>
          <w:sz w:val="24"/>
        </w:rPr>
        <w:t>Load appearing in real-time must be met by the ISO. Providing reserves to meet these contingencies is costly, and these costs are legitimately charged to loads. Additional generation appearing in real-time, which has offered supplemental energy bids to the ISO, adds nothing to the ISO’s costs.</w:t>
      </w:r>
      <w:r>
        <w:rPr>
          <w:rStyle w:val="FootnoteCharacters"/>
          <w:rStyle w:val="FootnoteReference"/>
          <w:rFonts w:cs="Times New Roman" w:ascii="Times New Roman" w:hAnsi="Times New Roman"/>
          <w:sz w:val="24"/>
        </w:rPr>
        <w:footnoteReference w:id="39"/>
      </w:r>
      <w:r>
        <w:rPr>
          <w:rFonts w:cs="Times New Roman" w:ascii="Times New Roman" w:hAnsi="Times New Roman"/>
          <w:sz w:val="24"/>
        </w:rPr>
        <w:t xml:space="preserve"> In fact, on average this generation acts like other forms of reserves, and may even decrease the ISO’s costs. Advocates of symmetry with respect to deviation penalties between suppliers and loads have ignored the fact that the costs created for the California ISO by positive deviations in load are very different from those created by additional generation turning up in real-time. </w:t>
      </w:r>
    </w:p>
    <w:p>
      <w:pPr>
        <w:pStyle w:val="Normal"/>
        <w:ind w:start="720" w:end="0"/>
        <w:rPr>
          <w:rFonts w:ascii="Times New Roman" w:hAnsi="Times New Roman" w:cs="Times New Roman"/>
          <w:sz w:val="24"/>
        </w:rPr>
      </w:pPr>
      <w:r>
        <w:rPr>
          <w:rFonts w:cs="Times New Roman"/>
          <w:sz w:val="24"/>
        </w:rPr>
      </w:r>
    </w:p>
    <w:p>
      <w:pPr>
        <w:pStyle w:val="Normal"/>
        <w:numPr>
          <w:ilvl w:val="0"/>
          <w:numId w:val="15"/>
        </w:numPr>
        <w:rPr>
          <w:b/>
          <w:sz w:val="24"/>
        </w:rPr>
      </w:pPr>
      <w:r>
        <w:rPr>
          <w:b/>
          <w:sz w:val="24"/>
        </w:rPr>
        <w:t>Are there other actions the Commission can take at this time to improve California’s market efficiency?</w:t>
      </w:r>
    </w:p>
    <w:p>
      <w:pPr>
        <w:pStyle w:val="Normal"/>
        <w:rPr>
          <w:b/>
          <w:sz w:val="24"/>
        </w:rPr>
      </w:pPr>
      <w:r>
        <w:rPr>
          <w:b/>
          <w:sz w:val="24"/>
        </w:rPr>
      </w:r>
    </w:p>
    <w:p>
      <w:pPr>
        <w:pStyle w:val="BodyTextIndent"/>
        <w:rPr/>
      </w:pPr>
      <w:r>
        <w:rPr/>
        <w:t>A.</w:t>
        <w:tab/>
        <w:t xml:space="preserve">Yes.  Despite Enron’s presentation of the issue in its White Paper, the Commission’s order did not address the issue of information provision to market participants in the California market. The White Paper highlighted that better information – particularly in a decentralized market like California – leads to a better allocation of resources, enhances liquidity in traded energy and transmission capacity products and assists in detecting collusive behavior. </w:t>
      </w:r>
    </w:p>
    <w:p>
      <w:pPr>
        <w:pStyle w:val="Normal"/>
        <w:rPr>
          <w:sz w:val="24"/>
        </w:rPr>
      </w:pPr>
      <w:r>
        <w:rPr>
          <w:sz w:val="24"/>
        </w:rPr>
      </w:r>
    </w:p>
    <w:p>
      <w:pPr>
        <w:pStyle w:val="BodyText3"/>
        <w:ind w:start="720" w:end="0"/>
        <w:rPr/>
      </w:pPr>
      <w:r>
        <w:rPr/>
        <w:t xml:space="preserve">Markets need the certain information to operate properly and it is readily apparent that more information can only enhance efficiency. Buyers and sellers must be aware of the economic opportunities available to them.  Restricting information in an attempt to circumnavigate bad market structure is tantamount to treating the symptoms of a problem rather than the cause and is just as futile. </w:t>
      </w:r>
    </w:p>
    <w:p>
      <w:pPr>
        <w:pStyle w:val="Normal"/>
        <w:spacing w:lineRule="atLeast" w:line="240"/>
        <w:rPr>
          <w:color w:val="000000"/>
          <w:sz w:val="24"/>
          <w:lang w:eastAsia="en-US"/>
        </w:rPr>
      </w:pPr>
      <w:r>
        <w:rPr>
          <w:color w:val="000000"/>
          <w:sz w:val="24"/>
          <w:lang w:eastAsia="en-US"/>
        </w:rPr>
      </w:r>
    </w:p>
    <w:p>
      <w:pPr>
        <w:pStyle w:val="Normal"/>
        <w:spacing w:lineRule="atLeast" w:line="240"/>
        <w:rPr>
          <w:b/>
          <w:color w:val="000000"/>
          <w:sz w:val="24"/>
          <w:lang w:eastAsia="en-US"/>
        </w:rPr>
      </w:pPr>
      <w:r>
        <w:rPr>
          <w:b/>
          <w:color w:val="000000"/>
          <w:sz w:val="24"/>
          <w:lang w:eastAsia="en-US"/>
        </w:rPr>
        <w:t>Q.</w:t>
        <w:tab/>
        <w:t>What information should be provided by the ISO to market participants?</w:t>
      </w:r>
    </w:p>
    <w:p>
      <w:pPr>
        <w:pStyle w:val="Normal"/>
        <w:spacing w:lineRule="atLeast" w:line="240"/>
        <w:rPr>
          <w:b/>
          <w:color w:val="000000"/>
          <w:sz w:val="24"/>
          <w:lang w:eastAsia="en-US"/>
        </w:rPr>
      </w:pPr>
      <w:r>
        <w:rPr>
          <w:b/>
          <w:color w:val="000000"/>
          <w:sz w:val="24"/>
          <w:lang w:eastAsia="en-US"/>
        </w:rPr>
      </w:r>
    </w:p>
    <w:p>
      <w:pPr>
        <w:pStyle w:val="BodyTextIndent3"/>
        <w:ind w:hanging="720" w:end="0"/>
        <w:rPr/>
      </w:pPr>
      <w:r>
        <w:rPr/>
        <w:t>A.</w:t>
        <w:tab/>
        <w:t xml:space="preserve">The following is information needed by the market that is currently not provided by the ISO: </w:t>
      </w:r>
    </w:p>
    <w:p>
      <w:pPr>
        <w:pStyle w:val="Normal"/>
        <w:spacing w:lineRule="atLeast" w:line="240"/>
        <w:rPr>
          <w:color w:val="000000"/>
          <w:sz w:val="24"/>
          <w:lang w:eastAsia="en-US"/>
        </w:rPr>
      </w:pPr>
      <w:r>
        <w:rPr>
          <w:color w:val="000000"/>
          <w:sz w:val="24"/>
          <w:lang w:eastAsia="en-US"/>
        </w:rPr>
      </w:r>
    </w:p>
    <w:p>
      <w:pPr>
        <w:pStyle w:val="Normal"/>
        <w:numPr>
          <w:ilvl w:val="0"/>
          <w:numId w:val="5"/>
        </w:numPr>
        <w:spacing w:lineRule="atLeast" w:line="240"/>
        <w:rPr>
          <w:color w:val="000000"/>
          <w:sz w:val="24"/>
          <w:lang w:eastAsia="en-US"/>
        </w:rPr>
      </w:pPr>
      <w:r>
        <w:rPr>
          <w:b/>
          <w:color w:val="000000"/>
          <w:sz w:val="24"/>
          <w:lang w:eastAsia="en-US"/>
        </w:rPr>
        <w:t>Basic</w:t>
      </w:r>
      <w:r>
        <w:rPr>
          <w:color w:val="000000"/>
          <w:sz w:val="24"/>
          <w:lang w:eastAsia="en-US"/>
        </w:rPr>
        <w:t xml:space="preserve"> (information that is readily available and requires little effort to develop reports)</w:t>
      </w:r>
    </w:p>
    <w:p>
      <w:pPr>
        <w:pStyle w:val="Normal"/>
        <w:numPr>
          <w:ilvl w:val="4"/>
          <w:numId w:val="5"/>
        </w:numPr>
        <w:tabs>
          <w:tab w:val="left" w:pos="720" w:leader="none"/>
        </w:tabs>
        <w:spacing w:lineRule="atLeast" w:line="240"/>
        <w:ind w:hanging="360" w:start="720" w:end="0"/>
        <w:rPr>
          <w:color w:val="000000"/>
          <w:sz w:val="24"/>
          <w:lang w:eastAsia="en-US"/>
        </w:rPr>
      </w:pPr>
      <w:r>
        <w:rPr>
          <w:color w:val="000000"/>
          <w:sz w:val="24"/>
          <w:lang w:eastAsia="en-US"/>
        </w:rPr>
        <w:t xml:space="preserve">actual Load by ISO zone </w:t>
      </w:r>
    </w:p>
    <w:p>
      <w:pPr>
        <w:pStyle w:val="Normal"/>
        <w:numPr>
          <w:ilvl w:val="4"/>
          <w:numId w:val="5"/>
        </w:numPr>
        <w:tabs>
          <w:tab w:val="left" w:pos="720" w:leader="none"/>
        </w:tabs>
        <w:spacing w:lineRule="atLeast" w:line="240"/>
        <w:ind w:hanging="360" w:start="720" w:end="0"/>
        <w:rPr>
          <w:color w:val="000000"/>
          <w:sz w:val="24"/>
          <w:lang w:eastAsia="en-US"/>
        </w:rPr>
      </w:pPr>
      <w:r>
        <w:rPr>
          <w:color w:val="000000"/>
          <w:sz w:val="24"/>
          <w:lang w:eastAsia="en-US"/>
        </w:rPr>
        <w:t>actual branch group flow</w:t>
      </w:r>
    </w:p>
    <w:p>
      <w:pPr>
        <w:pStyle w:val="Normal"/>
        <w:numPr>
          <w:ilvl w:val="4"/>
          <w:numId w:val="5"/>
        </w:numPr>
        <w:tabs>
          <w:tab w:val="left" w:pos="720" w:leader="none"/>
        </w:tabs>
        <w:spacing w:lineRule="atLeast" w:line="240"/>
        <w:ind w:hanging="360" w:start="720" w:end="0"/>
        <w:rPr>
          <w:color w:val="000000"/>
          <w:sz w:val="24"/>
          <w:lang w:eastAsia="en-US"/>
        </w:rPr>
      </w:pPr>
      <w:r>
        <w:rPr>
          <w:color w:val="000000"/>
          <w:sz w:val="24"/>
          <w:lang w:eastAsia="en-US"/>
        </w:rPr>
        <w:t>available transmission capacity (accounting for grandfathered capacity)</w:t>
      </w:r>
    </w:p>
    <w:p>
      <w:pPr>
        <w:pStyle w:val="Normal"/>
        <w:spacing w:lineRule="atLeast" w:line="240"/>
        <w:rPr>
          <w:color w:val="000000"/>
          <w:sz w:val="24"/>
          <w:lang w:eastAsia="en-US"/>
        </w:rPr>
      </w:pPr>
      <w:r>
        <w:rPr>
          <w:color w:val="000000"/>
          <w:sz w:val="24"/>
          <w:lang w:eastAsia="en-US"/>
        </w:rPr>
        <w:t>out-of-market calls (price and volume by hour)</w:t>
      </w:r>
    </w:p>
    <w:p>
      <w:pPr>
        <w:pStyle w:val="Normal"/>
        <w:spacing w:lineRule="atLeast" w:line="240"/>
        <w:rPr>
          <w:color w:val="000000"/>
          <w:sz w:val="24"/>
          <w:lang w:eastAsia="en-US"/>
        </w:rPr>
      </w:pPr>
      <w:r>
        <w:rPr>
          <w:color w:val="000000"/>
          <w:sz w:val="24"/>
          <w:lang w:eastAsia="en-US"/>
        </w:rPr>
      </w:r>
    </w:p>
    <w:p>
      <w:pPr>
        <w:pStyle w:val="Normal"/>
        <w:numPr>
          <w:ilvl w:val="3"/>
          <w:numId w:val="5"/>
        </w:numPr>
        <w:tabs>
          <w:tab w:val="clear" w:pos="720"/>
          <w:tab w:val="left" w:pos="360" w:leader="none"/>
        </w:tabs>
        <w:spacing w:lineRule="atLeast" w:line="240"/>
        <w:ind w:hanging="360" w:start="360" w:end="0"/>
        <w:rPr>
          <w:color w:val="000000"/>
          <w:sz w:val="24"/>
          <w:lang w:eastAsia="en-US"/>
        </w:rPr>
      </w:pPr>
      <w:r>
        <w:rPr>
          <w:b/>
          <w:color w:val="000000"/>
          <w:sz w:val="24"/>
          <w:lang w:eastAsia="en-US"/>
        </w:rPr>
        <w:t>Detailed</w:t>
      </w:r>
      <w:r>
        <w:rPr>
          <w:color w:val="000000"/>
          <w:sz w:val="24"/>
          <w:lang w:eastAsia="en-US"/>
        </w:rPr>
        <w:t xml:space="preserve"> (information that is readily available but may require effort to develop external reports)</w:t>
      </w:r>
    </w:p>
    <w:p>
      <w:pPr>
        <w:pStyle w:val="Normal"/>
        <w:numPr>
          <w:ilvl w:val="4"/>
          <w:numId w:val="5"/>
        </w:numPr>
        <w:tabs>
          <w:tab w:val="left" w:pos="720" w:leader="none"/>
        </w:tabs>
        <w:spacing w:lineRule="atLeast" w:line="240"/>
        <w:ind w:hanging="360" w:start="720" w:end="0"/>
        <w:rPr>
          <w:color w:val="000000"/>
          <w:sz w:val="24"/>
          <w:lang w:eastAsia="en-US"/>
        </w:rPr>
      </w:pPr>
      <w:r>
        <w:rPr>
          <w:color w:val="000000"/>
          <w:sz w:val="24"/>
          <w:lang w:eastAsia="en-US"/>
        </w:rPr>
        <w:t>Ex-Post supply curve information (including “inc” and “dec” resource volume, ramp rate, and strike price)</w:t>
      </w:r>
    </w:p>
    <w:p>
      <w:pPr>
        <w:pStyle w:val="Normal"/>
        <w:numPr>
          <w:ilvl w:val="4"/>
          <w:numId w:val="5"/>
        </w:numPr>
        <w:tabs>
          <w:tab w:val="left" w:pos="720" w:leader="none"/>
        </w:tabs>
        <w:spacing w:lineRule="atLeast" w:line="240"/>
        <w:ind w:hanging="360" w:start="720" w:end="0"/>
        <w:rPr>
          <w:color w:val="000000"/>
          <w:sz w:val="24"/>
          <w:lang w:eastAsia="en-US"/>
        </w:rPr>
      </w:pPr>
      <w:r>
        <w:rPr>
          <w:color w:val="000000"/>
          <w:sz w:val="24"/>
          <w:lang w:eastAsia="en-US"/>
        </w:rPr>
        <w:t>input and output data from congestion price and target price determination</w:t>
      </w:r>
    </w:p>
    <w:p>
      <w:pPr>
        <w:pStyle w:val="Normal"/>
        <w:numPr>
          <w:ilvl w:val="4"/>
          <w:numId w:val="5"/>
        </w:numPr>
        <w:tabs>
          <w:tab w:val="left" w:pos="720" w:leader="none"/>
        </w:tabs>
        <w:spacing w:lineRule="atLeast" w:line="240"/>
        <w:ind w:hanging="360" w:start="720" w:end="0"/>
        <w:rPr>
          <w:color w:val="000000"/>
          <w:sz w:val="24"/>
          <w:lang w:eastAsia="en-US"/>
        </w:rPr>
      </w:pPr>
      <w:r>
        <w:rPr>
          <w:color w:val="000000"/>
          <w:sz w:val="24"/>
          <w:lang w:eastAsia="en-US"/>
        </w:rPr>
        <w:t>timely release of anonymous bid and offer data for energy and ancillary services (capacity) markets</w:t>
      </w:r>
    </w:p>
    <w:p>
      <w:pPr>
        <w:pStyle w:val="Normal"/>
        <w:spacing w:lineRule="atLeast" w:line="240"/>
        <w:rPr>
          <w:color w:val="000000"/>
          <w:sz w:val="24"/>
          <w:lang w:eastAsia="en-US"/>
        </w:rPr>
      </w:pPr>
      <w:r>
        <w:rPr>
          <w:color w:val="000000"/>
          <w:sz w:val="24"/>
          <w:lang w:eastAsia="en-US"/>
        </w:rPr>
      </w:r>
    </w:p>
    <w:p>
      <w:pPr>
        <w:pStyle w:val="BodyTextIndent3"/>
        <w:rPr/>
      </w:pPr>
      <w:r>
        <w:rPr/>
        <w:t>It is particularly troubling that certain critical information, such as real-time information on congestion and power flows is made readily available in other power markets such as PJM but is not made available by the California ISO.</w:t>
      </w:r>
    </w:p>
    <w:p>
      <w:pPr>
        <w:pStyle w:val="Normal"/>
        <w:spacing w:lineRule="atLeast" w:line="240"/>
        <w:rPr>
          <w:color w:val="000000"/>
          <w:sz w:val="24"/>
          <w:lang w:eastAsia="en-US"/>
        </w:rPr>
      </w:pPr>
      <w:r>
        <w:rPr>
          <w:color w:val="000000"/>
          <w:sz w:val="24"/>
          <w:lang w:eastAsia="en-US"/>
        </w:rPr>
      </w:r>
    </w:p>
    <w:p>
      <w:pPr>
        <w:pStyle w:val="Normal"/>
        <w:ind w:start="720" w:end="0"/>
        <w:rPr/>
      </w:pPr>
      <w:r>
        <w:rPr>
          <w:color w:val="000000"/>
          <w:sz w:val="24"/>
          <w:lang w:eastAsia="en-US"/>
        </w:rPr>
        <w:t xml:space="preserve">It is easy to appreciate the negative consequences of incomplete information. </w:t>
      </w:r>
      <w:r>
        <w:rPr>
          <w:sz w:val="24"/>
        </w:rPr>
        <w:t xml:space="preserve">Market participants in California are disadvantaged in terms of the available data about potential or actual transmission constraints.  Hence, market participants’ have a limited ability to respond to scarce transmission.  </w:t>
      </w:r>
    </w:p>
    <w:p>
      <w:pPr>
        <w:pStyle w:val="Normal"/>
        <w:ind w:start="720" w:end="0"/>
        <w:rPr>
          <w:color w:val="000000"/>
          <w:sz w:val="24"/>
          <w:lang w:eastAsia="en-US"/>
        </w:rPr>
      </w:pPr>
      <w:r>
        <w:rPr>
          <w:color w:val="000000"/>
          <w:sz w:val="24"/>
          <w:lang w:eastAsia="en-US"/>
        </w:rPr>
      </w:r>
    </w:p>
    <w:p>
      <w:pPr>
        <w:pStyle w:val="Normal"/>
        <w:ind w:start="720" w:end="0"/>
        <w:rPr/>
      </w:pPr>
      <w:r>
        <w:rPr>
          <w:sz w:val="24"/>
        </w:rPr>
        <w:t xml:space="preserve">There are also important gaps in other areas. The Staff Report and the California ISO both have noted the role of simultaneous </w:t>
      </w:r>
      <w:r>
        <w:rPr>
          <w:i/>
          <w:sz w:val="24"/>
        </w:rPr>
        <w:t xml:space="preserve">planned </w:t>
      </w:r>
      <w:r>
        <w:rPr>
          <w:sz w:val="24"/>
        </w:rPr>
        <w:t>outages in the high price events of the summer 2000.</w:t>
      </w:r>
      <w:r>
        <w:rPr>
          <w:rStyle w:val="FootnoteCharacters"/>
          <w:rStyle w:val="FootnoteReference"/>
          <w:sz w:val="24"/>
        </w:rPr>
        <w:footnoteReference w:id="40"/>
      </w:r>
      <w:r>
        <w:rPr>
          <w:sz w:val="24"/>
        </w:rPr>
        <w:t xml:space="preserve">  More basic system information could have stimulated more generation development, at a considerable cost saving to California customers. </w:t>
      </w:r>
      <w:r>
        <w:br w:type="page"/>
      </w:r>
    </w:p>
    <w:p>
      <w:pPr>
        <w:pStyle w:val="Normal"/>
        <w:rPr>
          <w:sz w:val="24"/>
        </w:rPr>
      </w:pPr>
      <w:r>
        <w:rPr>
          <w:sz w:val="24"/>
        </w:rPr>
      </w:r>
    </w:p>
    <w:p>
      <w:pPr>
        <w:pStyle w:val="Heading3"/>
        <w:ind w:hanging="0" w:start="0"/>
        <w:jc w:val="center"/>
        <w:rPr>
          <w:b/>
        </w:rPr>
      </w:pPr>
      <w:r>
        <w:rPr>
          <w:b/>
        </w:rPr>
        <w:t>Appendix:  Answers to Hoeker’s Questions Issued on November 17, 2000</w:t>
      </w:r>
    </w:p>
    <w:p>
      <w:pPr>
        <w:pStyle w:val="Normal"/>
        <w:rPr>
          <w:b/>
          <w:sz w:val="24"/>
        </w:rPr>
      </w:pPr>
      <w:r>
        <w:rPr>
          <w:b/>
          <w:sz w:val="24"/>
        </w:rPr>
      </w:r>
    </w:p>
    <w:p>
      <w:pPr>
        <w:pStyle w:val="Normal"/>
        <w:rPr>
          <w:sz w:val="24"/>
        </w:rPr>
      </w:pPr>
      <w:r>
        <w:rPr>
          <w:sz w:val="24"/>
        </w:rPr>
        <w:t>[note:  this part is rougher and I assume that we will use extensive cross referencing rather than reiterate stuff said in our main comments.]</w:t>
      </w:r>
    </w:p>
    <w:p>
      <w:pPr>
        <w:pStyle w:val="Normal"/>
        <w:rPr>
          <w:sz w:val="24"/>
        </w:rPr>
      </w:pPr>
      <w:r>
        <w:rPr>
          <w:sz w:val="24"/>
        </w:rPr>
      </w:r>
    </w:p>
    <w:p>
      <w:pPr>
        <w:pStyle w:val="Normal"/>
        <w:rPr>
          <w:sz w:val="24"/>
        </w:rPr>
      </w:pPr>
      <w:r>
        <w:rPr>
          <w:sz w:val="24"/>
        </w:rPr>
      </w:r>
    </w:p>
    <w:p>
      <w:pPr>
        <w:pStyle w:val="Normal"/>
        <w:tabs>
          <w:tab w:val="clear" w:pos="720"/>
          <w:tab w:val="left" w:pos="-1440" w:leader="none"/>
        </w:tabs>
        <w:ind w:hanging="720" w:start="720" w:end="0"/>
        <w:rPr>
          <w:sz w:val="24"/>
        </w:rPr>
      </w:pPr>
      <w:r>
        <w:rPr>
          <w:sz w:val="24"/>
        </w:rPr>
        <w:t>1.</w:t>
        <w:tab/>
        <w:t>A number of suppliers argue that prices were not unjust and unreasonable when the actual costs of production, opportunity costs in the West, and plant factors of peaking units are taken into account.  But these broad claims are anecdotal and not supported by data for the periods in question.  Please supply data that supports these claims.  (AES, Calpine, Duke Energy, Dynegy, Enron, Independent Energy Producers, Reliant Energy, Western Power Trading Forum, Williams Energy)</w:t>
      </w:r>
    </w:p>
    <w:p>
      <w:pPr>
        <w:pStyle w:val="Normal"/>
        <w:rPr>
          <w:sz w:val="24"/>
        </w:rPr>
      </w:pPr>
      <w:r>
        <w:rPr>
          <w:sz w:val="24"/>
        </w:rPr>
      </w:r>
    </w:p>
    <w:p>
      <w:pPr>
        <w:pStyle w:val="Normal"/>
        <w:rPr>
          <w:sz w:val="24"/>
        </w:rPr>
      </w:pPr>
      <w:r>
        <w:rPr>
          <w:sz w:val="24"/>
        </w:rPr>
        <w:t>Generators and marketers that supply California operate in the interconnected WSCC.  Market prices prevalent in the WSCC but outside of California reflect the actual cost of production and the opportunity cost of serving the California market.  [PROVIDE DATA ON ALBERTA, MID-C, AND PALO VERDE PRODUCITON COSTS AND ITS CORRELATION WITH WESTERN MARKET PRICES]</w:t>
      </w:r>
    </w:p>
    <w:p>
      <w:pPr>
        <w:pStyle w:val="Normal"/>
        <w:rPr>
          <w:sz w:val="24"/>
        </w:rPr>
      </w:pPr>
      <w:r>
        <w:rPr>
          <w:sz w:val="24"/>
        </w:rPr>
      </w:r>
    </w:p>
    <w:p>
      <w:pPr>
        <w:pStyle w:val="Normal"/>
        <w:rPr>
          <w:sz w:val="24"/>
        </w:rPr>
      </w:pPr>
      <w:r>
        <w:rPr>
          <w:sz w:val="24"/>
        </w:rPr>
        <w:t>Also, see section [xx], above, which documents the current cost of building a peaking resource in California.  Recent historical prices are insufficient to support recovery of peaking unit costs and cost recovery would be further degraded if price caps were imposed.</w:t>
      </w:r>
    </w:p>
    <w:p>
      <w:pPr>
        <w:pStyle w:val="Normal"/>
        <w:rPr>
          <w:sz w:val="24"/>
        </w:rPr>
      </w:pPr>
      <w:r>
        <w:rPr>
          <w:sz w:val="24"/>
        </w:rPr>
      </w:r>
    </w:p>
    <w:p>
      <w:pPr>
        <w:pStyle w:val="Normal"/>
        <w:tabs>
          <w:tab w:val="clear" w:pos="720"/>
          <w:tab w:val="left" w:pos="-1440" w:leader="none"/>
        </w:tabs>
        <w:ind w:hanging="720" w:start="720" w:end="0"/>
        <w:rPr>
          <w:sz w:val="24"/>
        </w:rPr>
      </w:pPr>
      <w:r>
        <w:rPr>
          <w:sz w:val="24"/>
        </w:rPr>
        <w:t>2.</w:t>
        <w:tab/>
        <w:t>How do you explain the levels of earnings presented in the chart supplied to the Commission by the San Diego County Board of Supervisors?  What portion is attributable to California operations?  Do you think these earning levels are the result of just and reasonable rates and, if so, why? (AES, Calpine, Duke Energy, Dynegy, Enron, Independent Energy Producers, Reliant Energy, Western Power Trading Forum, Williams Energy)</w:t>
      </w:r>
    </w:p>
    <w:p>
      <w:pPr>
        <w:pStyle w:val="Normal"/>
        <w:rPr>
          <w:sz w:val="24"/>
        </w:rPr>
      </w:pPr>
      <w:r>
        <w:rPr>
          <w:sz w:val="24"/>
        </w:rPr>
      </w:r>
    </w:p>
    <w:p>
      <w:pPr>
        <w:pStyle w:val="Normal"/>
        <w:rPr>
          <w:sz w:val="24"/>
        </w:rPr>
      </w:pPr>
      <w:r>
        <w:rPr>
          <w:sz w:val="24"/>
        </w:rPr>
        <w:t>Enron has not been served a copy of this chart nor has it been provided any workpapers that support the figures presented in the chart.   Presumably the County’s source of data was publicly available reports on earnings.  Enron’s earnings during the referenced period reflected the operations of its entire company.  As a global provider of electricity, natural gas, and broadband solutions, the earnings presented do not reflect any profits directly attributable to its operations that serve California wholesale power markets.</w:t>
      </w:r>
    </w:p>
    <w:p>
      <w:pPr>
        <w:pStyle w:val="Normal"/>
        <w:rPr>
          <w:sz w:val="24"/>
        </w:rPr>
      </w:pPr>
      <w:r>
        <w:rPr>
          <w:sz w:val="24"/>
        </w:rPr>
      </w:r>
    </w:p>
    <w:p>
      <w:pPr>
        <w:pStyle w:val="Normal"/>
        <w:rPr>
          <w:sz w:val="24"/>
        </w:rPr>
      </w:pPr>
      <w:r>
        <w:rPr>
          <w:sz w:val="24"/>
        </w:rPr>
      </w:r>
    </w:p>
    <w:p>
      <w:pPr>
        <w:pStyle w:val="Normal"/>
        <w:tabs>
          <w:tab w:val="clear" w:pos="720"/>
          <w:tab w:val="left" w:pos="-1440" w:leader="none"/>
        </w:tabs>
        <w:ind w:hanging="720" w:start="720" w:end="0"/>
        <w:rPr>
          <w:b/>
          <w:sz w:val="24"/>
        </w:rPr>
      </w:pPr>
      <w:r>
        <w:rPr>
          <w:sz w:val="24"/>
        </w:rPr>
        <w:t>3.</w:t>
        <w:tab/>
        <w:t>The Commission has proposed that the existing ISO stakeholder board, which includes members appointed by the Electricity Oversight Board, select the new independent board from a slate of qualified candidates identified by an independent search firm.  Should governmental authorities have a role in selecting the board?  What other selection processes should we consider and why?</w:t>
      </w:r>
      <w:r>
        <w:rPr>
          <w:b/>
          <w:sz w:val="24"/>
        </w:rPr>
        <w:t xml:space="preserve"> </w:t>
      </w:r>
      <w:r>
        <w:rPr>
          <w:sz w:val="24"/>
        </w:rPr>
        <w:t>(California Public Utility Commission, California Electricity Oversight Board, other stakeholders)</w:t>
      </w:r>
    </w:p>
    <w:p>
      <w:pPr>
        <w:pStyle w:val="Normal"/>
        <w:rPr>
          <w:b/>
          <w:sz w:val="24"/>
        </w:rPr>
      </w:pPr>
      <w:r>
        <w:rPr>
          <w:b/>
          <w:sz w:val="24"/>
        </w:rPr>
      </w:r>
    </w:p>
    <w:p>
      <w:pPr>
        <w:pStyle w:val="Normal"/>
        <w:rPr>
          <w:b/>
          <w:sz w:val="24"/>
        </w:rPr>
      </w:pPr>
      <w:r>
        <w:rPr>
          <w:b/>
          <w:sz w:val="24"/>
        </w:rPr>
        <w:t>[not required to answer—do we want to answer?]</w:t>
      </w:r>
    </w:p>
    <w:p>
      <w:pPr>
        <w:pStyle w:val="Normal"/>
        <w:rPr>
          <w:b/>
          <w:sz w:val="24"/>
        </w:rPr>
      </w:pPr>
      <w:r>
        <w:rPr>
          <w:b/>
          <w:sz w:val="24"/>
        </w:rPr>
      </w:r>
    </w:p>
    <w:p>
      <w:pPr>
        <w:pStyle w:val="Normal"/>
        <w:tabs>
          <w:tab w:val="clear" w:pos="720"/>
          <w:tab w:val="left" w:pos="-1440" w:leader="none"/>
        </w:tabs>
        <w:ind w:hanging="720" w:start="720" w:end="0"/>
        <w:rPr>
          <w:sz w:val="24"/>
        </w:rPr>
      </w:pPr>
      <w:r>
        <w:rPr>
          <w:sz w:val="24"/>
        </w:rPr>
        <w:t>4.</w:t>
        <w:tab/>
        <w:t>If the Commission were to order refund of excessive rates as a matter of law or equity, how would we determine the excess in a market-based rate environment?  What would be the just and reasonable rate?  For what period would the determination of overcharges apply?  Who would be responsible for refunding overcharges? (All panelists)</w:t>
      </w:r>
    </w:p>
    <w:p>
      <w:pPr>
        <w:pStyle w:val="Normal"/>
        <w:rPr>
          <w:sz w:val="24"/>
        </w:rPr>
      </w:pPr>
      <w:r>
        <w:rPr>
          <w:sz w:val="24"/>
        </w:rPr>
      </w:r>
    </w:p>
    <w:p>
      <w:pPr>
        <w:pStyle w:val="Normal"/>
        <w:rPr>
          <w:sz w:val="24"/>
        </w:rPr>
      </w:pPr>
      <w:r>
        <w:rPr>
          <w:sz w:val="24"/>
        </w:rPr>
        <w:t>Enron believes it would be to the detriment of all participants, including consumers, to go down this path.  Enron maintains that prices this summer reflected market scarcity and that the public’s welfare will be best addressed by a “laser beam” like attention on the things that will relieve this scarcity:  forward contracting, the construction of new resources, improved transmission access.</w:t>
      </w:r>
    </w:p>
    <w:p>
      <w:pPr>
        <w:pStyle w:val="Normal"/>
        <w:rPr>
          <w:sz w:val="24"/>
        </w:rPr>
      </w:pPr>
      <w:r>
        <w:rPr>
          <w:sz w:val="24"/>
        </w:rPr>
      </w:r>
    </w:p>
    <w:p>
      <w:pPr>
        <w:pStyle w:val="Normal"/>
        <w:rPr>
          <w:sz w:val="24"/>
        </w:rPr>
      </w:pPr>
      <w:r>
        <w:rPr>
          <w:sz w:val="24"/>
        </w:rPr>
        <w:t>[we should focus some attention on the California and the CPUC:  This is a bit of a rant and may need to be toned down:]</w:t>
      </w:r>
    </w:p>
    <w:p>
      <w:pPr>
        <w:pStyle w:val="Normal"/>
        <w:rPr>
          <w:sz w:val="24"/>
        </w:rPr>
      </w:pPr>
      <w:r>
        <w:rPr>
          <w:sz w:val="24"/>
        </w:rPr>
      </w:r>
    </w:p>
    <w:p>
      <w:pPr>
        <w:pStyle w:val="Normal"/>
        <w:rPr>
          <w:sz w:val="24"/>
        </w:rPr>
      </w:pPr>
      <w:r>
        <w:rPr>
          <w:sz w:val="24"/>
        </w:rPr>
        <w:t>Enron suggests that the energy spent on finding a guilty party to California’s power crisis would be better spent on finding a solution.</w:t>
      </w:r>
    </w:p>
    <w:p>
      <w:pPr>
        <w:pStyle w:val="Normal"/>
        <w:rPr>
          <w:sz w:val="24"/>
        </w:rPr>
      </w:pPr>
      <w:r>
        <w:rPr>
          <w:sz w:val="24"/>
        </w:rPr>
      </w:r>
    </w:p>
    <w:p>
      <w:pPr>
        <w:pStyle w:val="Normal"/>
        <w:rPr>
          <w:sz w:val="24"/>
        </w:rPr>
      </w:pPr>
      <w:r>
        <w:rPr>
          <w:sz w:val="24"/>
        </w:rPr>
        <w:t>The CPUC needs to take actions on behalf of retail customers that still rely on the utility to procure power.  There is general consensus that the Commission’s agenda of developing a functioning market for retail competition is completely stalled.  There has been no regulatory approval of utility forward contracts and the Commission’s continued approach to micromanagement and a focus on finding a guilty party creates an enormous incentive by the utilities to NOT forward contract.  The fact that is now November only 6 short months from next year’s peak season, is simply irresponsible.</w:t>
      </w:r>
    </w:p>
    <w:p>
      <w:pPr>
        <w:pStyle w:val="Normal"/>
        <w:rPr>
          <w:sz w:val="24"/>
        </w:rPr>
      </w:pPr>
      <w:r>
        <w:rPr>
          <w:sz w:val="24"/>
        </w:rPr>
      </w:r>
    </w:p>
    <w:p>
      <w:pPr>
        <w:pStyle w:val="Normal"/>
        <w:rPr>
          <w:sz w:val="24"/>
        </w:rPr>
      </w:pPr>
      <w:r>
        <w:rPr>
          <w:sz w:val="24"/>
        </w:rPr>
        <w:t>Although California is trying to remove road blocks for the construction of new capacity, the facts are that little can be done between now and next summer other than forward contract out-of-area resources.  California’s streamlining of permitting shaves, at best, months off of multi-year permitting schedules.  Air quality and local permitting add time and cost to projects and there has been no actions to streamline those constraints.</w:t>
      </w:r>
    </w:p>
    <w:p>
      <w:pPr>
        <w:pStyle w:val="Normal"/>
        <w:rPr>
          <w:sz w:val="24"/>
        </w:rPr>
      </w:pPr>
      <w:r>
        <w:rPr>
          <w:sz w:val="24"/>
        </w:rPr>
      </w:r>
    </w:p>
    <w:p>
      <w:pPr>
        <w:pStyle w:val="Normal"/>
        <w:rPr>
          <w:sz w:val="24"/>
        </w:rPr>
      </w:pPr>
      <w:r>
        <w:rPr>
          <w:sz w:val="24"/>
        </w:rPr>
      </w:r>
    </w:p>
    <w:p>
      <w:pPr>
        <w:pStyle w:val="Normal"/>
        <w:tabs>
          <w:tab w:val="clear" w:pos="720"/>
          <w:tab w:val="left" w:pos="-1440" w:leader="none"/>
        </w:tabs>
        <w:ind w:hanging="720" w:start="720" w:end="0"/>
        <w:rPr>
          <w:sz w:val="24"/>
        </w:rPr>
      </w:pPr>
      <w:r>
        <w:rPr>
          <w:sz w:val="24"/>
        </w:rPr>
        <w:t>5.</w:t>
        <w:tab/>
        <w:t>Some suppliers suggest that prices be monitored on a continual basis and flagged if they are subject to further review and potential refund.  Prices that are not flagged would be deemed final and not subject to refund.  How would this work? (AES, Calpine, Duke Energy, Dynegy, Enron, Independent Energy Producers, Reliant Energy, Western Power Trading Forum, Williams Energy)</w:t>
      </w:r>
    </w:p>
    <w:p>
      <w:pPr>
        <w:pStyle w:val="Normal"/>
        <w:rPr>
          <w:sz w:val="24"/>
        </w:rPr>
      </w:pPr>
      <w:r>
        <w:rPr>
          <w:sz w:val="24"/>
        </w:rPr>
      </w:r>
    </w:p>
    <w:p>
      <w:pPr>
        <w:pStyle w:val="Normal"/>
        <w:rPr>
          <w:sz w:val="24"/>
        </w:rPr>
      </w:pPr>
      <w:r>
        <w:rPr>
          <w:sz w:val="24"/>
        </w:rPr>
        <w:t>Enron strongly supports such a mechanism.  See comments, Section [xx], above.</w:t>
      </w:r>
    </w:p>
    <w:p>
      <w:pPr>
        <w:sectPr>
          <w:headerReference w:type="default" r:id="rId5"/>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Style w:val="Normal"/>
        <w:rPr>
          <w:sz w:val="24"/>
        </w:rPr>
      </w:pPr>
      <w:r>
        <w:rPr>
          <w:sz w:val="24"/>
        </w:rPr>
      </w:r>
    </w:p>
    <w:p>
      <w:pPr>
        <w:pStyle w:val="Normal"/>
        <w:tabs>
          <w:tab w:val="clear" w:pos="720"/>
          <w:tab w:val="left" w:pos="-1440" w:leader="none"/>
        </w:tabs>
        <w:ind w:hanging="720" w:start="720" w:end="0"/>
        <w:rPr/>
      </w:pPr>
      <w:r>
        <w:rPr>
          <w:sz w:val="24"/>
        </w:rPr>
        <w:t>6.</w:t>
        <w:tab/>
        <w:t>Some suppliers point out that peaking units are used rarely and have very high costs. How do we structure market rules so that these generators can recover their costs, but prices of all generation are not inflated to the same level.</w:t>
      </w:r>
      <w:r>
        <w:rPr>
          <w:b/>
          <w:sz w:val="24"/>
        </w:rPr>
        <w:t xml:space="preserve"> </w:t>
      </w:r>
      <w:r>
        <w:rPr>
          <w:sz w:val="24"/>
        </w:rPr>
        <w:t>(All panelists)</w:t>
      </w:r>
    </w:p>
    <w:p>
      <w:pPr>
        <w:pStyle w:val="Normal"/>
        <w:rPr>
          <w:sz w:val="24"/>
        </w:rPr>
      </w:pPr>
      <w:r>
        <w:rPr>
          <w:sz w:val="24"/>
        </w:rPr>
      </w:r>
    </w:p>
    <w:p>
      <w:pPr>
        <w:pStyle w:val="Normal"/>
        <w:rPr>
          <w:sz w:val="24"/>
        </w:rPr>
      </w:pPr>
      <w:r>
        <w:rPr>
          <w:sz w:val="24"/>
        </w:rPr>
        <w:t xml:space="preserve">The answer does not lie, as many will say, on the relative merits of pay-as-bid versus second-price auctions or even as to whether some generation resources should be based on cost-of-service rates. The answer lies in forward contracting.  The spot market should remain unconstrained and for a perishable commodity like electricity, prices will be volatile.  There are times when spot prices will be “inflated,” as referenced in the question and there will be times when prices will be seriously deflated.  When buyers and sellers of electricity that will wish to avoid such volatility, they should seek forward markets.  The COMMISSION order says it well on p. 23, fn 44:   [copy text of footnote here] </w:t>
      </w:r>
    </w:p>
    <w:sectPr>
      <w:headerReference w:type="default" r:id="rId6"/>
      <w:headerReference w:type="first" r:id="rId7"/>
      <w:footerReference w:type="default" r:id="rId8"/>
      <w:footnotePr>
        <w:numFmt w:val="decimal"/>
      </w:footnotePr>
      <w:type w:val="nextPage"/>
      <w:pgSz w:w="12240" w:h="15840"/>
      <w:pgMar w:left="1080"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Monotype Sorts">
    <w:charset w:val="02"/>
    <w:family w:val="auto"/>
    <w:pitch w:val="variable"/>
  </w:font>
  <w:font w:name="Book Antiqua">
    <w:altName w:val="Georgia"/>
    <w:charset w:val="00" w:characterSet="windows-1252"/>
    <w:family w:val="roman"/>
    <w:pitch w:val="variable"/>
  </w:font>
  <w:font w:name="Helvetica">
    <w:altName w:val="Arial"/>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5">
              <wp:simplePos x="0" y="0"/>
              <wp:positionH relativeFrom="margin">
                <wp:align>right</wp:align>
              </wp:positionH>
              <wp:positionV relativeFrom="paragraph">
                <wp:posOffset>635</wp:posOffset>
              </wp:positionV>
              <wp:extent cx="12763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93.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BlockText"/>
        <w:ind w:start="0" w:end="720"/>
        <w:rPr/>
      </w:pPr>
      <w:r>
        <w:rPr>
          <w:rStyle w:val="FootnoteCharacters"/>
        </w:rPr>
        <w:footnoteRef/>
      </w:r>
      <w:r>
        <w:rPr>
          <w:sz w:val="20"/>
        </w:rPr>
        <w:t xml:space="preserve">  </w:t>
      </w:r>
      <w:r>
        <w:rPr>
          <w:sz w:val="20"/>
        </w:rPr>
        <w:t>Specifically, it states that “[t]he Commission has found in this proceeding that the existing market structure and market rules, in conjunction with an imbalance of supply and demand in California have caused and, until remedied, will continue to have the potential to cause, unjust and unreasonable rates for short-term energy during certain time periods.  While the Staff Report lists a number of factors that legitimately led to higher prices last summer, it also recites market design problems that contributed to high prices and they may have provided incentives for the exercise of market power or otherwise led to higher than competitive prices.”  (Order at 37, footnotes omitted).</w:t>
      </w:r>
    </w:p>
  </w:footnote>
  <w:footnote w:id="3">
    <w:p>
      <w:pPr>
        <w:pStyle w:val="FootnoteText"/>
        <w:rPr/>
      </w:pPr>
      <w:r>
        <w:rPr>
          <w:rStyle w:val="FootnoteCharacters"/>
        </w:rPr>
        <w:footnoteRef/>
      </w:r>
      <w:r>
        <w:rPr/>
        <w:t xml:space="preserve"> </w:t>
      </w:r>
      <w:r>
        <w:rPr/>
        <w:t>Order, p. 37, fn 81.</w:t>
      </w:r>
    </w:p>
  </w:footnote>
  <w:footnote w:id="4">
    <w:p>
      <w:pPr>
        <w:pStyle w:val="FootnoteText"/>
        <w:rPr/>
      </w:pPr>
      <w:r>
        <w:rPr>
          <w:rStyle w:val="FootnoteCharacters"/>
        </w:rPr>
        <w:footnoteRef/>
      </w:r>
      <w:r>
        <w:rPr/>
        <w:t xml:space="preserve">   “</w:t>
      </w:r>
      <w:r>
        <w:rPr/>
        <w:t>It is important to recognize that, in practice, the issue of market power is not a simple, all-or-none question, but turns on the magnitude of the market power impact on price and its consequences.  In times of scarcity, this impact is potentially very large, but it may be very difficult to separate from scarcity effects that can also be large and the duration of the impact of market power may be relatively short-lived.”</w:t>
      </w:r>
    </w:p>
  </w:footnote>
  <w:footnote w:id="5">
    <w:p>
      <w:pPr>
        <w:pStyle w:val="FootnoteText"/>
        <w:rPr/>
      </w:pPr>
      <w:r>
        <w:rPr>
          <w:rStyle w:val="FootnoteCharacters"/>
        </w:rPr>
        <w:footnoteRef/>
      </w:r>
      <w:r>
        <w:rPr/>
        <w:t xml:space="preserve"> </w:t>
      </w:r>
      <w:r>
        <w:rPr/>
        <w:tab/>
        <w:t>Harvey, S., and William W. Hogan. October 27, 2000. “Issues in the Analysis of Market Power in California”.</w:t>
      </w:r>
    </w:p>
  </w:footnote>
  <w:footnote w:id="6">
    <w:p>
      <w:pPr>
        <w:pStyle w:val="FootnoteText"/>
        <w:rPr/>
      </w:pPr>
      <w:r>
        <w:rPr>
          <w:rStyle w:val="FootnoteCharacters"/>
        </w:rPr>
        <w:footnoteRef/>
      </w:r>
      <w:r>
        <w:rPr/>
        <w:t xml:space="preserve"> </w:t>
      </w:r>
      <w:r>
        <w:rPr/>
        <w:t>[Need cite]</w:t>
      </w:r>
    </w:p>
  </w:footnote>
  <w:footnote w:id="7">
    <w:p>
      <w:pPr>
        <w:pStyle w:val="FootnoteText"/>
        <w:rPr/>
      </w:pPr>
      <w:r>
        <w:rPr>
          <w:rStyle w:val="FootnoteCharacters"/>
        </w:rPr>
        <w:footnoteRef/>
      </w:r>
      <w:r>
        <w:rPr/>
        <w:t xml:space="preserve"> </w:t>
      </w:r>
      <w:r>
        <w:rPr/>
        <w:t>Severin Borenstein, James Bushnell and Frank Wolak, “Diagnosing Market Power in California’s Restructured Wholesale Electricity Market,” August 2000</w:t>
      </w:r>
    </w:p>
  </w:footnote>
  <w:footnote w:id="8">
    <w:p>
      <w:pPr>
        <w:pStyle w:val="FootnoteText"/>
        <w:rPr/>
      </w:pPr>
      <w:r>
        <w:rPr>
          <w:rStyle w:val="FootnoteCharacters"/>
        </w:rPr>
        <w:footnoteRef/>
      </w:r>
      <w:r>
        <w:rPr/>
        <w:t xml:space="preserve"> </w:t>
      </w:r>
      <w:r>
        <w:rPr/>
        <w:tab/>
        <w:t>See, e.g. Market Surveillance Committee of the California Independent System Operator. September 6, 2000. “An Analysis of the June 2000 Price Spikes in the California ISO’s Energy and Ancillary Services Markets.”</w:t>
      </w:r>
    </w:p>
  </w:footnote>
  <w:footnote w:id="9">
    <w:p>
      <w:pPr>
        <w:pStyle w:val="FootnoteText"/>
        <w:rPr/>
      </w:pPr>
      <w:r>
        <w:rPr>
          <w:rStyle w:val="FootnoteCharacters"/>
        </w:rPr>
        <w:footnoteRef/>
      </w:r>
      <w:r>
        <w:rPr/>
        <w:t xml:space="preserve"> </w:t>
      </w:r>
      <w:r>
        <w:rPr/>
        <w:tab/>
        <w:t xml:space="preserve">Harvey, Scott, and William Hogan. October 27, 2000. “Issues in the Analysis of Market Power in California.” </w:t>
      </w:r>
    </w:p>
  </w:footnote>
  <w:footnote w:id="10">
    <w:p>
      <w:pPr>
        <w:pStyle w:val="FootnoteText"/>
        <w:rPr/>
      </w:pPr>
      <w:r>
        <w:rPr>
          <w:rStyle w:val="FootnoteCharacters"/>
        </w:rPr>
        <w:footnoteRef/>
      </w:r>
      <w:r>
        <w:rPr/>
        <w:t xml:space="preserve"> </w:t>
      </w:r>
      <w:r>
        <w:rPr/>
        <w:tab/>
        <w:t>Harvey and Hogan, P. 29.</w:t>
      </w:r>
    </w:p>
  </w:footnote>
  <w:footnote w:id="11">
    <w:p>
      <w:pPr>
        <w:pStyle w:val="FootnoteText"/>
        <w:rPr/>
      </w:pPr>
      <w:r>
        <w:rPr>
          <w:rStyle w:val="FootnoteCharacters"/>
        </w:rPr>
        <w:footnoteRef/>
      </w:r>
      <w:r>
        <w:rPr/>
        <w:t xml:space="preserve"> </w:t>
      </w:r>
      <w:r>
        <w:rPr/>
        <w:t>California PX Compliance Unit, “Price Movements in California Power Exchange Markets: Analysis of Price Activity: May-September 2000,” November 1, 2000, pp. 65, 82.</w:t>
      </w:r>
    </w:p>
  </w:footnote>
  <w:footnote w:id="12">
    <w:p>
      <w:pPr>
        <w:pStyle w:val="FootnoteText"/>
        <w:rPr/>
      </w:pPr>
      <w:r>
        <w:rPr>
          <w:rStyle w:val="FootnoteCharacters"/>
        </w:rPr>
        <w:footnoteRef/>
      </w:r>
      <w:r>
        <w:rPr/>
        <w:t xml:space="preserve">  </w:t>
      </w:r>
      <w:r>
        <w:rPr/>
        <w:t>White paper, pp. 22-25.</w:t>
      </w:r>
    </w:p>
  </w:footnote>
  <w:footnote w:id="13">
    <w:p>
      <w:pPr>
        <w:pStyle w:val="FootnoteText"/>
        <w:rPr/>
      </w:pPr>
      <w:r>
        <w:rPr>
          <w:rStyle w:val="FootnoteCharacters"/>
        </w:rPr>
        <w:footnoteRef/>
      </w:r>
      <w:r>
        <w:rPr/>
        <w:t xml:space="preserve"> </w:t>
      </w:r>
      <w:r>
        <w:rPr/>
        <w:t>Order at p. 17, footnote 34.</w:t>
      </w:r>
    </w:p>
  </w:footnote>
  <w:footnote w:id="14">
    <w:p>
      <w:pPr>
        <w:pStyle w:val="FootnoteText"/>
        <w:rPr/>
      </w:pPr>
      <w:r>
        <w:rPr>
          <w:rStyle w:val="FootnoteCharacters"/>
        </w:rPr>
        <w:footnoteRef/>
      </w:r>
      <w:r>
        <w:rPr/>
        <w:t xml:space="preserve"> </w:t>
      </w:r>
      <w:r>
        <w:rPr/>
        <w:t>Order at 39.</w:t>
      </w:r>
    </w:p>
  </w:footnote>
  <w:footnote w:id="15">
    <w:p>
      <w:pPr>
        <w:pStyle w:val="FootnoteText"/>
        <w:rPr/>
      </w:pPr>
      <w:r>
        <w:rPr>
          <w:rStyle w:val="FootnoteCharacters"/>
        </w:rPr>
        <w:footnoteRef/>
      </w:r>
      <w:r>
        <w:rPr/>
        <w:t xml:space="preserve"> </w:t>
      </w:r>
      <w:r>
        <w:rPr/>
        <w:t>Staff Report:  “Investigation of Bulk Power Market”, Midwest Region,  November 1, 2000, p. 16</w:t>
      </w:r>
    </w:p>
  </w:footnote>
  <w:footnote w:id="16">
    <w:p>
      <w:pPr>
        <w:pStyle w:val="FootnoteText"/>
        <w:rPr/>
      </w:pPr>
      <w:r>
        <w:rPr>
          <w:rStyle w:val="FootnoteCharacters"/>
        </w:rPr>
        <w:footnoteRef/>
      </w:r>
      <w:r>
        <w:rPr/>
        <w:t xml:space="preserve"> </w:t>
      </w:r>
      <w:r>
        <w:rPr/>
        <w:t>Order, p. 39, footnote 84.</w:t>
      </w:r>
    </w:p>
  </w:footnote>
  <w:footnote w:id="17">
    <w:p>
      <w:pPr>
        <w:pStyle w:val="FootnoteText"/>
        <w:rPr/>
      </w:pPr>
      <w:r>
        <w:rPr>
          <w:rStyle w:val="FootnoteCharacters"/>
        </w:rPr>
        <w:footnoteRef/>
      </w:r>
      <w:r>
        <w:rPr/>
        <w:t xml:space="preserve"> </w:t>
      </w:r>
      <w:r>
        <w:rPr/>
        <w:t>Need cite to the Belden/Hain presentation; how was it presented to the FERC? []</w:t>
      </w:r>
    </w:p>
  </w:footnote>
  <w:footnote w:id="18">
    <w:p>
      <w:pPr>
        <w:pStyle w:val="FootnoteText"/>
        <w:rPr/>
      </w:pPr>
      <w:r>
        <w:rPr>
          <w:rStyle w:val="FootnoteCharacters"/>
        </w:rPr>
        <w:footnoteRef/>
      </w:r>
      <w:r>
        <w:rPr/>
        <w:t xml:space="preserve"> </w:t>
      </w:r>
      <w:r>
        <w:rPr/>
        <w:t>California Energy Markets, Issue 587, October 6, 2000, p. 11.</w:t>
      </w:r>
    </w:p>
  </w:footnote>
  <w:footnote w:id="19">
    <w:p>
      <w:pPr>
        <w:pStyle w:val="FootnoteText"/>
        <w:rPr/>
      </w:pPr>
      <w:r>
        <w:rPr>
          <w:rStyle w:val="FootnoteCharacters"/>
        </w:rPr>
        <w:footnoteRef/>
      </w:r>
      <w:r>
        <w:rPr/>
        <w:t xml:space="preserve"> </w:t>
      </w:r>
      <w:r>
        <w:rPr/>
        <w:t>Assumed net MW from LM 6000: 44.5.</w:t>
      </w:r>
    </w:p>
  </w:footnote>
  <w:footnote w:id="20">
    <w:p>
      <w:pPr>
        <w:pStyle w:val="FootnoteText"/>
        <w:rPr/>
      </w:pPr>
      <w:r>
        <w:rPr>
          <w:rStyle w:val="FootnoteCharacters"/>
        </w:rPr>
        <w:footnoteRef/>
      </w:r>
      <w:r>
        <w:rPr/>
        <w:t xml:space="preserve"> </w:t>
      </w:r>
      <w:r>
        <w:rPr/>
        <w:t>Enron’s proposed CTs  fall below the size that requires permitting by the CEC.   However, local permitting agencies can apply stringent permit conditions such walls for sound abatement, daytime-only construction schedules, etc.</w:t>
      </w:r>
    </w:p>
  </w:footnote>
  <w:footnote w:id="21">
    <w:p>
      <w:pPr>
        <w:pStyle w:val="FootnoteText"/>
        <w:rPr/>
      </w:pPr>
      <w:r>
        <w:rPr>
          <w:rStyle w:val="FootnoteCharacters"/>
        </w:rPr>
        <w:footnoteRef/>
      </w:r>
      <w:r>
        <w:rPr/>
        <w:t xml:space="preserve"> </w:t>
      </w:r>
      <w:r>
        <w:rPr/>
        <w:t>Another source of increased cost is that project developers demand a higher return and apply a higher discount rate in jurisdictions where regulatory uncertainty clouds the possibility of cost recovery.  Although such a situation exists in California, the numerical example assumes a normal pre-tax cost of equity capital of 18%.</w:t>
      </w:r>
    </w:p>
  </w:footnote>
  <w:footnote w:id="22">
    <w:p>
      <w:pPr>
        <w:pStyle w:val="FootnoteText"/>
        <w:rPr/>
      </w:pPr>
      <w:r>
        <w:rPr>
          <w:rStyle w:val="FootnoteCharacters"/>
        </w:rPr>
        <w:footnoteRef/>
      </w:r>
      <w:r>
        <w:rPr/>
        <w:t xml:space="preserve">  </w:t>
      </w:r>
      <w:r>
        <w:rPr/>
        <w:t>On or about August 1, 2000 a price cap of $250/MWh was put into place.</w:t>
      </w:r>
    </w:p>
  </w:footnote>
  <w:footnote w:id="23">
    <w:p>
      <w:pPr>
        <w:pStyle w:val="FootnoteText"/>
        <w:rPr/>
      </w:pPr>
      <w:r>
        <w:rPr>
          <w:rStyle w:val="FootnoteCharacters"/>
        </w:rPr>
        <w:footnoteRef/>
      </w:r>
      <w:r>
        <w:rPr/>
        <w:t xml:space="preserve"> </w:t>
      </w:r>
      <w:r>
        <w:rPr/>
        <w:t>The incentive to wait until real time may exist even if there is a penalty for imbalanced load. []</w:t>
      </w:r>
    </w:p>
  </w:footnote>
  <w:footnote w:id="24">
    <w:p>
      <w:pPr>
        <w:pStyle w:val="FootnoteText"/>
        <w:rPr/>
      </w:pPr>
      <w:r>
        <w:rPr>
          <w:rStyle w:val="FootnoteCharacters"/>
        </w:rPr>
        <w:footnoteRef/>
      </w:r>
      <w:r>
        <w:rPr/>
        <w:t xml:space="preserve"> </w:t>
      </w:r>
      <w:r>
        <w:rPr/>
        <w:tab/>
        <w:t xml:space="preserve">Department of Market Analysis, California Independent System Operator. August 10, 2000. “Report on California Energy Market, Issues and Performance: May-June, 2000, Special Report”. P.2. </w:t>
      </w:r>
    </w:p>
  </w:footnote>
  <w:footnote w:id="25">
    <w:p>
      <w:pPr>
        <w:pStyle w:val="FootnoteText"/>
        <w:rPr/>
      </w:pPr>
      <w:r>
        <w:rPr>
          <w:rStyle w:val="FootnoteCharacters"/>
        </w:rPr>
        <w:footnoteRef/>
      </w:r>
      <w:r>
        <w:rPr/>
        <w:t xml:space="preserve"> </w:t>
      </w:r>
      <w:r>
        <w:rPr/>
        <w:tab/>
        <w:t>Order, Footnote 87. P.35.</w:t>
      </w:r>
    </w:p>
  </w:footnote>
  <w:footnote w:id="26">
    <w:p>
      <w:pPr>
        <w:pStyle w:val="FootnoteText"/>
        <w:rPr/>
      </w:pPr>
      <w:r>
        <w:rPr>
          <w:rStyle w:val="FootnoteCharacters"/>
        </w:rPr>
        <w:footnoteRef/>
      </w:r>
      <w:r>
        <w:rPr/>
        <w:t xml:space="preserve"> </w:t>
      </w:r>
      <w:r>
        <w:rPr/>
        <w:t>Department of Market Analysis, California ISO. March 2000. “Price Cap Policy for Summer 2000.”</w:t>
      </w:r>
    </w:p>
  </w:footnote>
  <w:footnote w:id="27">
    <w:p>
      <w:pPr>
        <w:pStyle w:val="FootnoteText"/>
        <w:rPr/>
      </w:pPr>
      <w:r>
        <w:rPr>
          <w:rStyle w:val="FootnoteCharacters"/>
        </w:rPr>
        <w:footnoteRef/>
      </w:r>
      <w:r>
        <w:rPr/>
        <w:t xml:space="preserve"> </w:t>
      </w:r>
      <w:r>
        <w:rPr/>
        <w:t>Order, p. 42 and footnote 91.</w:t>
      </w:r>
    </w:p>
  </w:footnote>
  <w:footnote w:id="28">
    <w:p>
      <w:pPr>
        <w:pStyle w:val="FootnoteText"/>
        <w:rPr/>
      </w:pPr>
      <w:r>
        <w:rPr>
          <w:rStyle w:val="FootnoteCharacters"/>
        </w:rPr>
        <w:footnoteRef/>
      </w:r>
      <w:r>
        <w:rPr/>
        <w:t xml:space="preserve"> </w:t>
      </w:r>
      <w:r>
        <w:rPr/>
        <w:t>In the analysis, the Commission appears to assume an installed cost of $580/kW and a discount rate of 18%.  These assumptions correspond to an approximate $60/MWh margin contribution under amortization period/capacity factor combinations of  5 yrs/33%, 10 yrs/25%, and 30 yrs/20%.</w:t>
      </w:r>
    </w:p>
  </w:footnote>
  <w:footnote w:id="29">
    <w:p>
      <w:pPr>
        <w:pStyle w:val="FootnoteText"/>
        <w:rPr/>
      </w:pPr>
      <w:r>
        <w:rPr>
          <w:rStyle w:val="FootnoteCharacters"/>
        </w:rPr>
        <w:footnoteRef/>
      </w:r>
      <w:r>
        <w:rPr/>
        <w:t xml:space="preserve"> </w:t>
      </w:r>
      <w:r>
        <w:rPr/>
        <w:t>Order at p. 17, footnote 34. [document the cap further?  On that date adopted a load-differentiated cap indexed to month-ahead gas prices.]</w:t>
      </w:r>
    </w:p>
  </w:footnote>
  <w:footnote w:id="30">
    <w:p>
      <w:pPr>
        <w:pStyle w:val="FootnoteText"/>
        <w:rPr/>
      </w:pPr>
      <w:r>
        <w:rPr>
          <w:rStyle w:val="FootnoteCharacters"/>
        </w:rPr>
        <w:footnoteRef/>
      </w:r>
      <w:r>
        <w:rPr/>
        <w:t xml:space="preserve"> </w:t>
      </w:r>
      <w:r>
        <w:rPr/>
        <w:t>Megawatt Daily, November 15, 2000, p. 8.</w:t>
      </w:r>
    </w:p>
  </w:footnote>
  <w:footnote w:id="31">
    <w:p>
      <w:pPr>
        <w:pStyle w:val="FootnoteText"/>
        <w:rPr/>
      </w:pPr>
      <w:r>
        <w:rPr>
          <w:rStyle w:val="FootnoteCharacters"/>
        </w:rPr>
        <w:footnoteRef/>
      </w:r>
      <w:r>
        <w:rPr/>
        <w:t xml:space="preserve"> </w:t>
      </w:r>
      <w:r>
        <w:rPr/>
        <w:t>Check that PX prices I looked up are day ahead..</w:t>
      </w:r>
    </w:p>
  </w:footnote>
  <w:footnote w:id="32">
    <w:p>
      <w:pPr>
        <w:pStyle w:val="FootnoteText"/>
        <w:rPr/>
      </w:pPr>
      <w:r>
        <w:rPr>
          <w:rStyle w:val="FootnoteCharacters"/>
        </w:rPr>
        <w:footnoteRef/>
      </w:r>
      <w:r>
        <w:rPr/>
        <w:t xml:space="preserve"> </w:t>
      </w:r>
      <w:r>
        <w:rPr/>
        <w:t>Order, p. 23, fn 44</w:t>
      </w:r>
    </w:p>
  </w:footnote>
  <w:footnote w:id="33">
    <w:p>
      <w:pPr>
        <w:pStyle w:val="FootnoteText"/>
        <w:rPr/>
      </w:pPr>
      <w:r>
        <w:rPr>
          <w:rStyle w:val="FootnoteCharacters"/>
        </w:rPr>
        <w:footnoteRef/>
      </w:r>
      <w:r>
        <w:rPr/>
        <w:t xml:space="preserve"> </w:t>
      </w:r>
      <w:r>
        <w:rPr/>
        <w:t>Term deals represent trades for contracts with terms one month or greater.  Deals shown include both physical and financial trades.</w:t>
      </w:r>
    </w:p>
  </w:footnote>
  <w:footnote w:id="34">
    <w:p>
      <w:pPr>
        <w:pStyle w:val="FootnoteText"/>
        <w:rPr/>
      </w:pPr>
      <w:r>
        <w:rPr>
          <w:rStyle w:val="FootnoteCharacters"/>
        </w:rPr>
        <w:footnoteRef/>
      </w:r>
      <w:r>
        <w:rPr/>
        <w:t xml:space="preserve">  </w:t>
      </w:r>
      <w:r>
        <w:rPr/>
        <w:t>California PX Compliance Unit, “Price Movements in California Power Exchange Markets: Analysis of Price Activity: May-September 2000,” November 1, 2000, p. 81.</w:t>
      </w:r>
    </w:p>
  </w:footnote>
  <w:footnote w:id="35">
    <w:p>
      <w:pPr>
        <w:pStyle w:val="FootnoteText"/>
        <w:rPr/>
      </w:pPr>
      <w:r>
        <w:rPr>
          <w:rStyle w:val="FootnoteCharacters"/>
        </w:rPr>
        <w:footnoteRef/>
      </w:r>
      <w:r>
        <w:rPr/>
        <w:t xml:space="preserve"> </w:t>
      </w:r>
      <w:r>
        <w:rPr/>
        <w:tab/>
        <w:t>P.36.</w:t>
      </w:r>
    </w:p>
  </w:footnote>
  <w:footnote w:id="36">
    <w:p>
      <w:pPr>
        <w:pStyle w:val="FootnoteText"/>
        <w:rPr/>
      </w:pPr>
      <w:r>
        <w:rPr>
          <w:rStyle w:val="FootnoteCharacters"/>
        </w:rPr>
        <w:footnoteRef/>
      </w:r>
      <w:r>
        <w:rPr/>
        <w:t xml:space="preserve">  </w:t>
      </w:r>
      <w:r>
        <w:rPr/>
        <w:t>Staff Report, p. 5-17..</w:t>
      </w:r>
    </w:p>
  </w:footnote>
  <w:footnote w:id="37">
    <w:p>
      <w:pPr>
        <w:pStyle w:val="FootnoteText"/>
        <w:rPr/>
      </w:pPr>
      <w:r>
        <w:rPr>
          <w:rStyle w:val="FootnoteCharacters"/>
        </w:rPr>
        <w:footnoteRef/>
      </w:r>
      <w:r>
        <w:rPr/>
        <w:t xml:space="preserve"> </w:t>
      </w:r>
      <w:r>
        <w:rPr/>
        <w:t>Other energy limited resources include generators with air emission permits that limit output and for which emission offset trading is illiquid or not allowed and resources such as biomass that have a finite fuel supply.</w:t>
      </w:r>
    </w:p>
  </w:footnote>
  <w:footnote w:id="38">
    <w:p>
      <w:pPr>
        <w:pStyle w:val="FootnoteText"/>
        <w:rPr/>
      </w:pPr>
      <w:r>
        <w:rPr>
          <w:rStyle w:val="FootnoteCharacters"/>
        </w:rPr>
        <w:footnoteRef/>
      </w:r>
      <w:r>
        <w:rPr/>
        <w:t xml:space="preserve"> </w:t>
      </w:r>
      <w:r>
        <w:rPr/>
        <w:tab/>
        <w:t>Under the design of the California ISO’s ancillary services protocol, suppliers must be able to form reasonable expectations of their opportunity costs of providing reserves, which in turn are a product of the price paid and quantity expected for energy produced in the real-time market. This in turn requires that the BEEP stack be relatively full so that real-time prices are not too volatile.</w:t>
      </w:r>
    </w:p>
  </w:footnote>
  <w:footnote w:id="39">
    <w:p>
      <w:pPr>
        <w:pStyle w:val="FootnoteText"/>
        <w:rPr/>
      </w:pPr>
      <w:r>
        <w:rPr>
          <w:rStyle w:val="FootnoteCharacters"/>
        </w:rPr>
        <w:footnoteRef/>
      </w:r>
      <w:r>
        <w:rPr/>
        <w:t xml:space="preserve"> </w:t>
      </w:r>
      <w:r>
        <w:rPr/>
        <w:tab/>
        <w:t xml:space="preserve">There may be circumstances, such as an overgeneration condition, in which the ISO’s costs could be raised by </w:t>
      </w:r>
      <w:r>
        <w:rPr>
          <w:i/>
        </w:rPr>
        <w:t>uninstructed generation</w:t>
      </w:r>
      <w:r>
        <w:rPr/>
        <w:t xml:space="preserve"> in real-time. But this hypothetical scenario is not the focus of the current discussion.</w:t>
      </w:r>
    </w:p>
  </w:footnote>
  <w:footnote w:id="40">
    <w:p>
      <w:pPr>
        <w:pStyle w:val="FootnoteText"/>
        <w:rPr/>
      </w:pPr>
      <w:r>
        <w:rPr>
          <w:rStyle w:val="FootnoteCharacters"/>
        </w:rPr>
        <w:footnoteRef/>
      </w:r>
      <w:r>
        <w:rPr/>
        <w:t xml:space="preserve"> </w:t>
      </w:r>
      <w:r>
        <w:rPr/>
        <w:tab/>
        <w:t xml:space="preserve">“Staff Report to the Federal Energy Regulatory Commission on Western Markets and the Causes of the Summer 2000 Price Abnormalities, Part I of Staff Report on U.S. Bulk Power Markets.” November 1, 2000. P.5.4 ff. DMA. October 2000.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sz w:val="26"/>
      </w:rPr>
      <w:t xml:space="preserve">Docket No. EL00-95-000, </w:t>
    </w:r>
    <w:r>
      <w:rPr>
        <w:sz w:val="26"/>
        <w:u w:val="single"/>
      </w:rPr>
      <w:t>et</w:t>
    </w:r>
    <w:r>
      <w:rPr>
        <w:sz w:val="26"/>
      </w:rPr>
      <w:t xml:space="preserve"> </w:t>
    </w:r>
    <w:r>
      <w:rPr>
        <w:sz w:val="26"/>
        <w:u w:val="single"/>
      </w:rPr>
      <w:t>al</w:t>
    </w:r>
    <w:r>
      <w:rPr>
        <w:sz w:val="26"/>
      </w:rPr>
      <w:t>.</w:t>
    </w:r>
    <w:r>
      <mc:AlternateContent>
        <mc:Choice Requires="wps">
          <w:drawing>
            <wp:anchor behindDoc="0" distT="0" distB="0" distL="0" distR="0" simplePos="0" locked="0" layoutInCell="0" allowOverlap="1" relativeHeight="24">
              <wp:simplePos x="0" y="0"/>
              <wp:positionH relativeFrom="column">
                <wp:posOffset>635</wp:posOffset>
              </wp:positionH>
              <wp:positionV relativeFrom="paragraph">
                <wp:posOffset>635</wp:posOffset>
              </wp:positionV>
              <wp:extent cx="5944235" cy="146685"/>
              <wp:effectExtent l="0" t="0" r="0" b="0"/>
              <wp:wrapTopAndBottom/>
              <wp:docPr id="2" name="Frame1"/>
              <a:graphic xmlns:a="http://schemas.openxmlformats.org/drawingml/2006/main">
                <a:graphicData uri="http://schemas.microsoft.com/office/word/2010/wordprocessingShape">
                  <wps:wsp>
                    <wps:cNvSpPr txBox="1"/>
                    <wps:spPr>
                      <a:xfrm>
                        <a:off x="0" y="0"/>
                        <a:ext cx="5944235" cy="146685"/>
                      </a:xfrm>
                      <a:prstGeom prst="rect"/>
                      <a:solidFill>
                        <a:srgbClr val="FFFFFF">
                          <a:alpha val="0"/>
                        </a:srgbClr>
                      </a:solidFill>
                    </wps:spPr>
                    <wps:txbx>
                      <w:txbxContent>
                        <w:p>
                          <w:pPr>
                            <w:pStyle w:val="Normal"/>
                            <w:jc w:val="center"/>
                            <w:rPr/>
                          </w:pPr>
                          <w:r>
                            <w:rPr/>
                            <w:t xml:space="preserve">- </w:t>
                          </w:r>
                          <w:r>
                            <w:rPr/>
                            <w:fldChar w:fldCharType="begin"/>
                          </w:r>
                          <w:r>
                            <w:rPr/>
                            <w:instrText xml:space="preserve"> PAGE </w:instrText>
                          </w:r>
                          <w:r>
                            <w:rPr/>
                            <w:fldChar w:fldCharType="separate"/>
                          </w:r>
                          <w:r>
                            <w:rPr/>
                            <w:t>23</w:t>
                          </w:r>
                          <w:r>
                            <w:rPr/>
                            <w:fldChar w:fldCharType="end"/>
                          </w:r>
                          <w:r>
                            <w:rPr/>
                            <w:t xml:space="preserve"> -</w:t>
                          </w:r>
                        </w:p>
                      </w:txbxContent>
                    </wps:txbx>
                    <wps:bodyPr anchor="t" lIns="0" tIns="0" rIns="0" bIns="0">
                      <a:noAutofit/>
                    </wps:bodyPr>
                  </wps:wsp>
                </a:graphicData>
              </a:graphic>
            </wp:anchor>
          </w:drawing>
        </mc:Choice>
        <mc:Fallback>
          <w:pict>
            <v:rect fillcolor="#FFFFFF" style="position:absolute;rotation:-0;width:468.05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 xml:space="preserve">- </w:t>
                    </w:r>
                    <w:r>
                      <w:rPr/>
                      <w:fldChar w:fldCharType="begin"/>
                    </w:r>
                    <w:r>
                      <w:rPr/>
                      <w:instrText xml:space="preserve"> PAGE </w:instrText>
                    </w:r>
                    <w:r>
                      <w:rPr/>
                      <w:fldChar w:fldCharType="separate"/>
                    </w:r>
                    <w:r>
                      <w:rPr/>
                      <w:t>23</w:t>
                    </w:r>
                    <w:r>
                      <w:rPr/>
                      <w:fldChar w:fldCharType="end"/>
                    </w:r>
                    <w:r>
                      <w:rPr/>
                      <w:t xml:space="preserve"> -</w:t>
                    </w:r>
                  </w:p>
                </w:txbxContent>
              </v:textbox>
              <w10:wrap type="topAndBottom"/>
            </v:rect>
          </w:pict>
        </mc:Fallback>
      </mc:AlternateContent>
    </w:r>
  </w:p>
  <w:p>
    <w:pPr>
      <w:pStyle w:val="Normal"/>
      <w:spacing w:lineRule="exact" w:line="240"/>
      <w:rPr>
        <w:sz w:val="26"/>
      </w:rPr>
    </w:pPr>
    <w:r>
      <w:rPr>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sz w:val="26"/>
      </w:rPr>
      <w:t xml:space="preserve">Docket No. EL00-95-000, </w:t>
    </w:r>
    <w:r>
      <w:rPr>
        <w:sz w:val="26"/>
        <w:u w:val="single"/>
      </w:rPr>
      <w:t>et</w:t>
    </w:r>
    <w:r>
      <w:rPr>
        <w:sz w:val="26"/>
      </w:rPr>
      <w:t xml:space="preserve"> </w:t>
    </w:r>
    <w:r>
      <w:rPr>
        <w:sz w:val="26"/>
        <w:u w:val="single"/>
      </w:rPr>
      <w:t>al</w:t>
    </w:r>
    <w:r>
      <w:rPr>
        <w:sz w:val="26"/>
      </w:rPr>
      <w:t>.</w:t>
    </w:r>
    <w:r>
      <mc:AlternateContent>
        <mc:Choice Requires="wps">
          <w:drawing>
            <wp:anchor behindDoc="0" distT="0" distB="0" distL="0" distR="0" simplePos="0" locked="0" layoutInCell="0" allowOverlap="1" relativeHeight="28">
              <wp:simplePos x="0" y="0"/>
              <wp:positionH relativeFrom="column">
                <wp:posOffset>635</wp:posOffset>
              </wp:positionH>
              <wp:positionV relativeFrom="paragraph">
                <wp:posOffset>635</wp:posOffset>
              </wp:positionV>
              <wp:extent cx="5944235" cy="146685"/>
              <wp:effectExtent l="0" t="0" r="0" b="0"/>
              <wp:wrapTopAndBottom/>
              <wp:docPr id="3" name="Frame3"/>
              <a:graphic xmlns:a="http://schemas.openxmlformats.org/drawingml/2006/main">
                <a:graphicData uri="http://schemas.microsoft.com/office/word/2010/wordprocessingShape">
                  <wps:wsp>
                    <wps:cNvSpPr txBox="1"/>
                    <wps:spPr>
                      <a:xfrm>
                        <a:off x="0" y="0"/>
                        <a:ext cx="5944235" cy="146685"/>
                      </a:xfrm>
                      <a:prstGeom prst="rect"/>
                      <a:solidFill>
                        <a:srgbClr val="FFFFFF">
                          <a:alpha val="0"/>
                        </a:srgbClr>
                      </a:solidFill>
                    </wps:spPr>
                    <wps:txbx>
                      <w:txbxContent>
                        <w:p>
                          <w:pPr>
                            <w:pStyle w:val="Normal"/>
                            <w:jc w:val="center"/>
                            <w:rPr/>
                          </w:pPr>
                          <w:r>
                            <w:rPr/>
                            <w:t xml:space="preserve">- </w:t>
                          </w:r>
                          <w:r>
                            <w:rPr/>
                            <w:fldChar w:fldCharType="begin"/>
                          </w:r>
                          <w:r>
                            <w:rPr/>
                            <w:instrText xml:space="preserve"> PAGE </w:instrText>
                          </w:r>
                          <w:r>
                            <w:rPr/>
                            <w:fldChar w:fldCharType="separate"/>
                          </w:r>
                          <w:r>
                            <w:rPr/>
                            <w:t>24</w:t>
                          </w:r>
                          <w:r>
                            <w:rPr/>
                            <w:fldChar w:fldCharType="end"/>
                          </w:r>
                          <w:r>
                            <w:rPr/>
                            <w:t xml:space="preserve"> -</w:t>
                          </w:r>
                        </w:p>
                      </w:txbxContent>
                    </wps:txbx>
                    <wps:bodyPr anchor="t" lIns="0" tIns="0" rIns="0" bIns="0">
                      <a:noAutofit/>
                    </wps:bodyPr>
                  </wps:wsp>
                </a:graphicData>
              </a:graphic>
            </wp:anchor>
          </w:drawing>
        </mc:Choice>
        <mc:Fallback>
          <w:pict>
            <v:rect fillcolor="#FFFFFF" style="position:absolute;rotation:-0;width:468.05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 xml:space="preserve">- </w:t>
                    </w:r>
                    <w:r>
                      <w:rPr/>
                      <w:fldChar w:fldCharType="begin"/>
                    </w:r>
                    <w:r>
                      <w:rPr/>
                      <w:instrText xml:space="preserve"> PAGE </w:instrText>
                    </w:r>
                    <w:r>
                      <w:rPr/>
                      <w:fldChar w:fldCharType="separate"/>
                    </w:r>
                    <w:r>
                      <w:rPr/>
                      <w:t>24</w:t>
                    </w:r>
                    <w:r>
                      <w:rPr/>
                      <w:fldChar w:fldCharType="end"/>
                    </w:r>
                    <w:r>
                      <w:rPr/>
                      <w:t xml:space="preserve"> -</w:t>
                    </w:r>
                  </w:p>
                </w:txbxContent>
              </v:textbox>
              <w10:wrap type="topAndBottom"/>
            </v:rect>
          </w:pict>
        </mc:Fallback>
      </mc:AlternateContent>
    </w:r>
  </w:p>
  <w:p>
    <w:pPr>
      <w:pStyle w:val="Normal"/>
      <w:spacing w:lineRule="exact" w:line="240"/>
      <w:rPr>
        <w:sz w:val="26"/>
      </w:rPr>
    </w:pPr>
    <w:r>
      <w:rPr>
        <w:sz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720"/>
      </w:pPr>
      <w:rPr/>
    </w:lvl>
  </w:abstractNum>
  <w:abstractNum w:abstractNumId="3">
    <w:lvl w:ilvl="0">
      <w:start w:val="17"/>
      <w:numFmt w:val="upperLetter"/>
      <w:lvlText w:val="%1."/>
      <w:lvlJc w:val="start"/>
      <w:pPr>
        <w:tabs>
          <w:tab w:val="num" w:pos="720"/>
        </w:tabs>
        <w:ind w:start="720" w:hanging="720"/>
      </w:pPr>
      <w:rPr/>
    </w:lvl>
  </w:abstractNum>
  <w:abstractNum w:abstractNumId="4">
    <w:lvl w:ilvl="0">
      <w:start w:val="1"/>
      <w:numFmt w:val="upperLetter"/>
      <w:lvlText w:val="%1."/>
      <w:lvlJc w:val="start"/>
      <w:pPr>
        <w:tabs>
          <w:tab w:val="num" w:pos="720"/>
        </w:tabs>
        <w:ind w:start="720" w:hanging="720"/>
      </w:pPr>
      <w:rPr/>
    </w:lvl>
  </w:abstractNum>
  <w:abstractNum w:abstractNumId="5">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upperLetter"/>
      <w:lvlText w:val="%1."/>
      <w:lvlJc w:val="start"/>
      <w:pPr>
        <w:tabs>
          <w:tab w:val="num" w:pos="720"/>
        </w:tabs>
        <w:ind w:start="720" w:hanging="720"/>
      </w:pPr>
      <w:rPr>
        <w:b w:val="false"/>
      </w:rPr>
    </w:lvl>
  </w:abstractNum>
  <w:abstractNum w:abstractNumId="8">
    <w:lvl w:ilvl="0">
      <w:start w:val="17"/>
      <w:numFmt w:val="upperLetter"/>
      <w:lvlText w:val="%1."/>
      <w:lvlJc w:val="start"/>
      <w:pPr>
        <w:tabs>
          <w:tab w:val="num" w:pos="720"/>
        </w:tabs>
        <w:ind w:start="720" w:hanging="720"/>
      </w:pPr>
      <w:rPr/>
    </w:lvl>
  </w:abstractNum>
  <w:abstractNum w:abstractNumId="9">
    <w:lvl w:ilvl="0">
      <w:start w:val="1"/>
      <w:numFmt w:val="upperLetter"/>
      <w:lvlText w:val="%1."/>
      <w:lvlJc w:val="start"/>
      <w:pPr>
        <w:tabs>
          <w:tab w:val="num" w:pos="360"/>
        </w:tabs>
        <w:ind w:start="360" w:hanging="360"/>
      </w:pPr>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7"/>
      <w:numFmt w:val="upperLetter"/>
      <w:lvlText w:val="%1."/>
      <w:lvlJc w:val="start"/>
      <w:pPr>
        <w:tabs>
          <w:tab w:val="num" w:pos="1080"/>
        </w:tabs>
        <w:ind w:start="1080" w:hanging="360"/>
      </w:pPr>
      <w:rPr/>
    </w:lvl>
  </w:abstractNum>
  <w:abstractNum w:abstractNumId="12">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3">
    <w:lvl w:ilvl="0">
      <w:start w:val="17"/>
      <w:numFmt w:val="upperLetter"/>
      <w:lvlText w:val="%1."/>
      <w:lvlJc w:val="start"/>
      <w:pPr>
        <w:tabs>
          <w:tab w:val="num" w:pos="360"/>
        </w:tabs>
        <w:ind w:start="360" w:hanging="360"/>
      </w:pPr>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7"/>
      <w:numFmt w:val="upp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i/>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jc w:val="center"/>
      <w:outlineLvl w:val="3"/>
    </w:pPr>
    <w:rPr>
      <w:sz w:val="24"/>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8z0">
    <w:name w:val="WW8Num8z0"/>
    <w:qFormat/>
    <w:rPr>
      <w:rFonts w:ascii="Symbol" w:hAnsi="Symbol" w:cs="Symbol"/>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5z0">
    <w:name w:val="WW8Num15z0"/>
    <w:qFormat/>
    <w:rPr/>
  </w:style>
  <w:style w:type="character" w:styleId="WW8Num16z0">
    <w:name w:val="WW8Num16z0"/>
    <w:qFormat/>
    <w:rPr>
      <w:rFonts w:ascii="Symbol" w:hAnsi="Symbol" w:cs="Symbol"/>
    </w:rPr>
  </w:style>
  <w:style w:type="character" w:styleId="WW8Num18z0">
    <w:name w:val="WW8Num18z0"/>
    <w:qFormat/>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St11z0">
    <w:name w:val="WW8NumSt11z0"/>
    <w:qFormat/>
    <w:rPr>
      <w:rFonts w:ascii="Monotype Sorts" w:hAnsi="Monotype Sorts" w:cs="Monotype Sorts"/>
      <w:sz w:val="24"/>
    </w:rPr>
  </w:style>
  <w:style w:type="character" w:styleId="WW8NumSt12z0">
    <w:name w:val="WW8NumSt12z0"/>
    <w:qFormat/>
    <w:rPr>
      <w:rFonts w:ascii="Monotype Sorts" w:hAnsi="Monotype Sorts" w:cs="Monotype Sorts"/>
      <w:sz w:val="36"/>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uppressAutoHyphens w:val="true"/>
      <w:spacing w:before="0" w:after="240"/>
      <w:jc w:val="center"/>
    </w:pPr>
    <w:rPr>
      <w:rFonts w:ascii="Book Antiqua;Georgia" w:hAnsi="Book Antiqua;Georgia" w:cs="Book Antiqua;Georgia"/>
      <w:b/>
      <w:sz w:val="32"/>
    </w:rPr>
  </w:style>
  <w:style w:type="paragraph" w:styleId="BodyText">
    <w:name w:val="Body Text"/>
    <w:basedOn w:val="Normal"/>
    <w:pPr/>
    <w:rPr>
      <w:i/>
      <w:sz w:val="24"/>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jc w:val="both"/>
    </w:pPr>
    <w:rPr>
      <w:rFonts w:ascii="Book Antiqua;Georgia" w:hAnsi="Book Antiqua;Georgia" w:cs="Book Antiqua;Georgia"/>
      <w:b/>
      <w:spacing w:val="-2"/>
      <w:sz w:val="22"/>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sz w:val="24"/>
    </w:rPr>
  </w:style>
  <w:style w:type="paragraph" w:styleId="FootnoteText">
    <w:name w:val="footnote text"/>
    <w:basedOn w:val="Normal"/>
    <w:pPr/>
    <w:rPr/>
  </w:style>
  <w:style w:type="paragraph" w:styleId="BodyTextIndent">
    <w:name w:val="Body Text Indent"/>
    <w:basedOn w:val="Normal"/>
    <w:pPr>
      <w:ind w:hanging="720" w:start="720" w:end="0"/>
    </w:pPr>
    <w:rPr>
      <w:sz w:val="24"/>
    </w:rPr>
  </w:style>
  <w:style w:type="paragraph" w:styleId="4SubPara">
    <w:name w:val="4SubPara"/>
    <w:basedOn w:val="Normal"/>
    <w:next w:val="Normal"/>
    <w:qFormat/>
    <w:pPr>
      <w:suppressAutoHyphens w:val="true"/>
      <w:spacing w:before="120" w:after="240"/>
      <w:jc w:val="both"/>
    </w:pPr>
    <w:rPr>
      <w:rFonts w:ascii="Book Antiqua;Georgia" w:hAnsi="Book Antiqua;Georgia" w:cs="Book Antiqua;Georgia"/>
      <w:b/>
      <w:sz w:val="22"/>
    </w:rPr>
  </w:style>
  <w:style w:type="paragraph" w:styleId="ListBullet1">
    <w:name w:val="List Bullet1"/>
    <w:basedOn w:val="Normal"/>
    <w:qFormat/>
    <w:pPr>
      <w:numPr>
        <w:ilvl w:val="0"/>
        <w:numId w:val="12"/>
      </w:numPr>
      <w:suppressAutoHyphens w:val="true"/>
      <w:spacing w:before="0" w:after="240"/>
      <w:jc w:val="both"/>
    </w:pPr>
    <w:rPr>
      <w:rFonts w:ascii="Book Antiqua;Georgia" w:hAnsi="Book Antiqua;Georgia" w:cs="Book Antiqua;Georgia"/>
      <w:sz w:val="22"/>
    </w:rPr>
  </w:style>
  <w:style w:type="paragraph" w:styleId="3SubPara">
    <w:name w:val="3SubPara"/>
    <w:basedOn w:val="Normal"/>
    <w:next w:val="Normal"/>
    <w:qFormat/>
    <w:pPr>
      <w:suppressAutoHyphens w:val="true"/>
      <w:spacing w:before="120" w:after="240"/>
      <w:jc w:val="both"/>
    </w:pPr>
    <w:rPr>
      <w:rFonts w:ascii="Book Antiqua;Georgia" w:hAnsi="Book Antiqua;Georgia" w:cs="Book Antiqua;Georgia"/>
      <w:b/>
      <w:sz w:val="28"/>
    </w:rPr>
  </w:style>
  <w:style w:type="paragraph" w:styleId="FaxNormal">
    <w:name w:val="FaxNormal"/>
    <w:basedOn w:val="Normal"/>
    <w:qFormat/>
    <w:pPr>
      <w:suppressAutoHyphens w:val="true"/>
      <w:jc w:val="both"/>
    </w:pPr>
    <w:rPr>
      <w:rFonts w:ascii="Book Antiqua;Georgia" w:hAnsi="Book Antiqua;Georgia" w:cs="Book Antiqua;Georgia"/>
      <w:sz w:val="22"/>
    </w:rPr>
  </w:style>
  <w:style w:type="paragraph" w:styleId="2SubSectionHead">
    <w:name w:val="2SubSectionHead"/>
    <w:basedOn w:val="Normal"/>
    <w:next w:val="Normal"/>
    <w:qFormat/>
    <w:pPr>
      <w:suppressAutoHyphens w:val="true"/>
      <w:spacing w:before="240" w:after="240"/>
      <w:jc w:val="both"/>
    </w:pPr>
    <w:rPr>
      <w:rFonts w:ascii="Book Antiqua;Georgia" w:hAnsi="Book Antiqua;Georgia" w:cs="Book Antiqua;Georgia"/>
      <w:b/>
      <w:sz w:val="32"/>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 w:hAnsi="Helvetica" w:eastAsia="Times New Roman" w:cs="Helvetica"/>
      <w:color w:val="auto"/>
      <w:spacing w:val="-2"/>
      <w:sz w:val="20"/>
      <w:szCs w:val="20"/>
      <w:lang w:val="en-GB" w:eastAsia="zh-CN" w:bidi="hi-IN"/>
    </w:rPr>
  </w:style>
  <w:style w:type="paragraph" w:styleId="BodyTextIndent2">
    <w:name w:val="Body Text Indent 2"/>
    <w:basedOn w:val="Normal"/>
    <w:qFormat/>
    <w:pPr>
      <w:ind w:hanging="0" w:start="720" w:end="0"/>
    </w:pPr>
    <w:rPr>
      <w:sz w:val="24"/>
    </w:rPr>
  </w:style>
  <w:style w:type="paragraph" w:styleId="BodyText2">
    <w:name w:val="Body Text 2"/>
    <w:basedOn w:val="Normal"/>
    <w:qFormat/>
    <w:pPr/>
    <w:rPr>
      <w:b/>
      <w:sz w:val="24"/>
    </w:rPr>
  </w:style>
  <w:style w:type="paragraph" w:styleId="BodyText3">
    <w:name w:val="Body Text 3"/>
    <w:basedOn w:val="Normal"/>
    <w:qFormat/>
    <w:pPr>
      <w:spacing w:lineRule="atLeast" w:line="240"/>
    </w:pPr>
    <w:rPr>
      <w:color w:val="000000"/>
      <w:sz w:val="24"/>
      <w:lang w:eastAsia="en-US"/>
    </w:rPr>
  </w:style>
  <w:style w:type="paragraph" w:styleId="BodyTextIndent3">
    <w:name w:val="Body Text Indent 3"/>
    <w:basedOn w:val="Normal"/>
    <w:qFormat/>
    <w:pPr>
      <w:spacing w:lineRule="atLeast" w:line="240"/>
      <w:ind w:hanging="0" w:start="720" w:end="0"/>
    </w:pPr>
    <w:rPr>
      <w:color w:val="000000"/>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
    <w:name w:val="head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package" Target="embeddings/oleObject1.xlsx"/><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2000-11-21T16:38:00Z</dcterms:created>
  <dc:creator>G. Alan Comnes</dc:creator>
  <dc:description/>
  <dc:language>en-CA</dc:language>
  <cp:lastModifiedBy>G. Alan Comnes</cp:lastModifiedBy>
  <cp:lastPrinted>2000-11-20T10:23:00Z</cp:lastPrinted>
  <dcterms:modified xsi:type="dcterms:W3CDTF">2000-11-21T16:39:00Z</dcterms:modified>
  <cp:revision>4</cp:revision>
  <dc:subject/>
  <dc:title>Affidavit Outline</dc:title>
</cp:coreProperties>
</file>