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sz w:val="32"/>
        </w:rPr>
      </w:pPr>
      <w:r>
        <w:rPr>
          <w:b/>
          <w:color w:val="000000"/>
          <w:sz w:val="32"/>
        </w:rPr>
        <w:t>Docket No. 23220</w:t>
      </w:r>
    </w:p>
    <w:p>
      <w:pPr>
        <w:pStyle w:val="Normal"/>
        <w:jc w:val="center"/>
        <w:rPr>
          <w:b/>
          <w:color w:val="000000"/>
          <w:sz w:val="32"/>
        </w:rPr>
      </w:pPr>
      <w:r>
        <w:rPr>
          <w:b/>
          <w:color w:val="000000"/>
          <w:sz w:val="32"/>
        </w:rPr>
        <w:t>Technical Conference</w:t>
      </w:r>
    </w:p>
    <w:p>
      <w:pPr>
        <w:pStyle w:val="Normal"/>
        <w:jc w:val="center"/>
        <w:rPr>
          <w:b/>
          <w:color w:val="000000"/>
          <w:sz w:val="32"/>
        </w:rPr>
      </w:pPr>
      <w:r>
        <w:rPr>
          <w:b/>
          <w:color w:val="000000"/>
          <w:sz w:val="32"/>
        </w:rPr>
        <w:t>January 19, 2001</w:t>
      </w:r>
    </w:p>
    <w:p>
      <w:pPr>
        <w:pStyle w:val="Normal"/>
        <w:jc w:val="center"/>
        <w:rPr>
          <w:b/>
          <w:color w:val="000000"/>
          <w:sz w:val="32"/>
        </w:rPr>
      </w:pPr>
      <w:r>
        <w:rPr>
          <w:b/>
          <w:color w:val="000000"/>
          <w:sz w:val="32"/>
        </w:rPr>
      </w:r>
    </w:p>
    <w:p>
      <w:pPr>
        <w:pStyle w:val="Normal"/>
        <w:jc w:val="center"/>
        <w:rPr>
          <w:b/>
          <w:color w:val="000000"/>
          <w:sz w:val="32"/>
        </w:rPr>
      </w:pPr>
      <w:r>
        <w:rPr>
          <w:b/>
          <w:color w:val="000000"/>
          <w:sz w:val="32"/>
        </w:rPr>
        <w:t>PUC Staff Selected Questions</w:t>
      </w:r>
    </w:p>
    <w:p>
      <w:pPr>
        <w:pStyle w:val="Normal"/>
        <w:rPr>
          <w:b/>
          <w:color w:val="000000"/>
          <w:sz w:val="32"/>
        </w:rPr>
      </w:pPr>
      <w:r>
        <w:rPr>
          <w:b/>
          <w:color w:val="000000"/>
          <w:sz w:val="32"/>
        </w:rPr>
      </w:r>
    </w:p>
    <w:p>
      <w:pPr>
        <w:pStyle w:val="Normal"/>
        <w:rPr>
          <w:color w:val="000000"/>
        </w:rPr>
      </w:pPr>
      <w:r>
        <w:rPr>
          <w:color w:val="000000"/>
        </w:rPr>
      </w:r>
    </w:p>
    <w:p>
      <w:pPr>
        <w:pStyle w:val="Normal"/>
        <w:numPr>
          <w:ilvl w:val="0"/>
          <w:numId w:val="4"/>
        </w:numPr>
        <w:rPr/>
      </w:pPr>
      <w:r>
        <w:rPr/>
        <w:t>Please briefly explain how the revisions submitted under ERCOT January 5, 2001 Supplemental Filing address each of the fifteen concerns identified on page 5 of ERCOT November 2, 2000 Original Filing.  In particular, please provide the reasoning underlying each solution and list the issues for which no final resolution is provided.</w:t>
      </w:r>
    </w:p>
    <w:p>
      <w:pPr>
        <w:pStyle w:val="Normal"/>
        <w:rPr>
          <w:color w:val="000000"/>
        </w:rPr>
      </w:pPr>
      <w:r>
        <w:rPr>
          <w:color w:val="000000"/>
        </w:rPr>
      </w:r>
    </w:p>
    <w:p>
      <w:pPr>
        <w:pStyle w:val="Normal"/>
        <w:numPr>
          <w:ilvl w:val="0"/>
          <w:numId w:val="4"/>
        </w:numPr>
        <w:rPr/>
      </w:pPr>
      <w:r>
        <w:rPr/>
        <w:t xml:space="preserve">Please provide a tentative timeline for implementing revisions identified in the ERCOT Supplemental Filing regarding Gap Analysis.  For those gaps that will not be implemented by January 1, 2002,  please briefly explain the way ERCOT will handle the resulting operational and market related problems. </w:t>
      </w:r>
    </w:p>
    <w:p>
      <w:pPr>
        <w:pStyle w:val="Normal"/>
        <w:rPr>
          <w:color w:val="000000"/>
        </w:rPr>
      </w:pPr>
      <w:r>
        <w:rPr>
          <w:color w:val="000000"/>
        </w:rPr>
      </w:r>
    </w:p>
    <w:p>
      <w:pPr>
        <w:pStyle w:val="Normal"/>
        <w:numPr>
          <w:ilvl w:val="0"/>
          <w:numId w:val="4"/>
        </w:numPr>
        <w:rPr/>
      </w:pPr>
      <w:r>
        <w:rPr/>
        <w:t>Please provide simple and clear examples to illustrate how load acting as a resource can participate in the operations of each of the Ancillary Services Markets.  In answering this question, please distinguish between Balancing Up Load (BUL) options and other ways in which load can act as a resource.  In addition, please provide an expanded explanation of how the following activities will function as they apply to loads acting as a resource:</w:t>
      </w:r>
    </w:p>
    <w:p>
      <w:pPr>
        <w:pStyle w:val="Normal"/>
        <w:rPr/>
      </w:pPr>
      <w:r>
        <w:rPr/>
      </w:r>
    </w:p>
    <w:p>
      <w:pPr>
        <w:pStyle w:val="Normal"/>
        <w:numPr>
          <w:ilvl w:val="0"/>
          <w:numId w:val="6"/>
        </w:numPr>
        <w:tabs>
          <w:tab w:val="left" w:pos="720" w:leader="none"/>
        </w:tabs>
        <w:ind w:hanging="360" w:start="720" w:end="0"/>
        <w:rPr/>
      </w:pPr>
      <w:r>
        <w:rPr/>
        <w:t>Dissemination of advanced notices regarding price signals to various customers</w:t>
      </w:r>
    </w:p>
    <w:p>
      <w:pPr>
        <w:pStyle w:val="Normal"/>
        <w:numPr>
          <w:ilvl w:val="0"/>
          <w:numId w:val="6"/>
        </w:numPr>
        <w:tabs>
          <w:tab w:val="left" w:pos="720" w:leader="none"/>
        </w:tabs>
        <w:ind w:hanging="360" w:start="720" w:end="0"/>
        <w:rPr/>
      </w:pPr>
      <w:r>
        <w:rPr/>
        <w:t>Determination of quantities to be deployed</w:t>
      </w:r>
    </w:p>
    <w:p>
      <w:pPr>
        <w:pStyle w:val="Normal"/>
        <w:numPr>
          <w:ilvl w:val="0"/>
          <w:numId w:val="6"/>
        </w:numPr>
        <w:tabs>
          <w:tab w:val="left" w:pos="720" w:leader="none"/>
        </w:tabs>
        <w:ind w:hanging="360" w:start="720" w:end="0"/>
        <w:rPr/>
      </w:pPr>
      <w:r>
        <w:rPr/>
        <w:t>Determination of compensations to be paid (energy and capacity)</w:t>
      </w:r>
    </w:p>
    <w:p>
      <w:pPr>
        <w:pStyle w:val="Normal"/>
        <w:numPr>
          <w:ilvl w:val="0"/>
          <w:numId w:val="6"/>
        </w:numPr>
        <w:tabs>
          <w:tab w:val="left" w:pos="720" w:leader="none"/>
        </w:tabs>
        <w:ind w:hanging="360" w:start="720" w:end="0"/>
        <w:rPr/>
      </w:pPr>
      <w:r>
        <w:rPr/>
        <w:t>Determination of compensations to be paid (energy and capacity) if there are zonal differences in ERCOT for each AS product</w:t>
      </w:r>
    </w:p>
    <w:p>
      <w:pPr>
        <w:pStyle w:val="Normal"/>
        <w:numPr>
          <w:ilvl w:val="0"/>
          <w:numId w:val="6"/>
        </w:numPr>
        <w:tabs>
          <w:tab w:val="left" w:pos="720" w:leader="none"/>
        </w:tabs>
        <w:ind w:hanging="360" w:start="720" w:end="0"/>
        <w:rPr/>
      </w:pPr>
      <w:r>
        <w:rPr/>
        <w:t>Determination of uninstructed deviations and possible penalties</w:t>
      </w:r>
    </w:p>
    <w:p>
      <w:pPr>
        <w:pStyle w:val="Normal"/>
        <w:numPr>
          <w:ilvl w:val="0"/>
          <w:numId w:val="6"/>
        </w:numPr>
        <w:tabs>
          <w:tab w:val="left" w:pos="720" w:leader="none"/>
        </w:tabs>
        <w:ind w:hanging="360" w:start="720" w:end="0"/>
        <w:rPr/>
      </w:pPr>
      <w:r>
        <w:rPr/>
        <w:t>Future elimination of any proposed incentives to encourage loads to participate</w:t>
      </w:r>
    </w:p>
    <w:p>
      <w:pPr>
        <w:pStyle w:val="Normal"/>
        <w:rPr/>
      </w:pPr>
      <w:r>
        <w:rPr/>
      </w:r>
    </w:p>
    <w:p>
      <w:pPr>
        <w:pStyle w:val="Normal"/>
        <w:numPr>
          <w:ilvl w:val="0"/>
          <w:numId w:val="4"/>
        </w:numPr>
        <w:rPr/>
      </w:pPr>
      <w:r>
        <w:rPr/>
        <w:t xml:space="preserve">Please expand your answer regarding the earlier example provided on congestion management to explain the way the following concerns are addressed:  i) Capacity inadequacy, ii) local congestion, and iii) zonal congestion.  In particular, please expand on the following areas: </w:t>
      </w:r>
    </w:p>
    <w:p>
      <w:pPr>
        <w:pStyle w:val="Normal"/>
        <w:rPr/>
      </w:pPr>
      <w:r>
        <w:rPr/>
      </w:r>
    </w:p>
    <w:p>
      <w:pPr>
        <w:pStyle w:val="Normal"/>
        <w:numPr>
          <w:ilvl w:val="0"/>
          <w:numId w:val="5"/>
        </w:numPr>
        <w:tabs>
          <w:tab w:val="left" w:pos="720" w:leader="none"/>
        </w:tabs>
        <w:ind w:hanging="360" w:start="720" w:end="0"/>
        <w:rPr/>
      </w:pPr>
      <w:r>
        <w:rPr/>
        <w:t>Determination of MCPC for the selected resource(s)</w:t>
      </w:r>
    </w:p>
    <w:p>
      <w:pPr>
        <w:pStyle w:val="Normal"/>
        <w:numPr>
          <w:ilvl w:val="0"/>
          <w:numId w:val="5"/>
        </w:numPr>
        <w:tabs>
          <w:tab w:val="left" w:pos="720" w:leader="none"/>
        </w:tabs>
        <w:ind w:hanging="360" w:start="720" w:end="0"/>
        <w:rPr/>
      </w:pPr>
      <w:r>
        <w:rPr/>
        <w:t>Determination of MCPE for selected resource(s) deployed to clear congestion</w:t>
      </w:r>
    </w:p>
    <w:p>
      <w:pPr>
        <w:pStyle w:val="Normal"/>
        <w:numPr>
          <w:ilvl w:val="0"/>
          <w:numId w:val="5"/>
        </w:numPr>
        <w:tabs>
          <w:tab w:val="left" w:pos="720" w:leader="none"/>
        </w:tabs>
        <w:ind w:hanging="360" w:start="720" w:end="0"/>
        <w:rPr/>
      </w:pPr>
      <w:r>
        <w:rPr>
          <w:color w:val="000000"/>
        </w:rPr>
        <w:t>Reliance on optimization models, if any, to manage congestion (succinct description of the model)</w:t>
      </w:r>
    </w:p>
    <w:p>
      <w:pPr>
        <w:pStyle w:val="Normal"/>
        <w:numPr>
          <w:ilvl w:val="0"/>
          <w:numId w:val="5"/>
        </w:numPr>
        <w:tabs>
          <w:tab w:val="left" w:pos="720" w:leader="none"/>
        </w:tabs>
        <w:ind w:hanging="360" w:start="720" w:end="0"/>
        <w:rPr/>
      </w:pPr>
      <w:r>
        <w:rPr>
          <w:color w:val="000000"/>
        </w:rPr>
        <w:t>Allocation of costs among items i through iii mentioned above</w:t>
      </w:r>
    </w:p>
    <w:p>
      <w:pPr>
        <w:pStyle w:val="Normal"/>
        <w:rPr/>
      </w:pPr>
      <w:r>
        <w:rPr/>
      </w:r>
    </w:p>
    <w:p>
      <w:pPr>
        <w:pStyle w:val="Normal"/>
        <w:numPr>
          <w:ilvl w:val="0"/>
          <w:numId w:val="4"/>
        </w:numPr>
        <w:rPr/>
      </w:pPr>
      <w:r>
        <w:rPr/>
        <w:t>Please explain the provisions within the Protocols that require routine self-correcting (improvement) actions regarding ERCOT management and operational functions.  In particular, please expand on the following areas:</w:t>
      </w:r>
    </w:p>
    <w:p>
      <w:pPr>
        <w:pStyle w:val="Normal"/>
        <w:rPr/>
      </w:pPr>
      <w:r>
        <w:rPr/>
      </w:r>
    </w:p>
    <w:p>
      <w:pPr>
        <w:pStyle w:val="Normal"/>
        <w:numPr>
          <w:ilvl w:val="0"/>
          <w:numId w:val="3"/>
        </w:numPr>
        <w:tabs>
          <w:tab w:val="left" w:pos="720" w:leader="none"/>
        </w:tabs>
        <w:ind w:hanging="360" w:start="720" w:end="0"/>
        <w:rPr/>
      </w:pPr>
      <w:r>
        <w:rPr/>
        <w:t>To what extent will a third-party independent audit be relied upon to evaluate previous management decisions and to identify areas for improvements?</w:t>
      </w:r>
    </w:p>
    <w:p>
      <w:pPr>
        <w:pStyle w:val="Normal"/>
        <w:numPr>
          <w:ilvl w:val="0"/>
          <w:numId w:val="3"/>
        </w:numPr>
        <w:tabs>
          <w:tab w:val="left" w:pos="720" w:leader="none"/>
        </w:tabs>
        <w:ind w:hanging="360" w:start="720" w:end="0"/>
        <w:rPr/>
      </w:pPr>
      <w:r>
        <w:rPr/>
        <w:t>To what extent will a third-party independent audit be relied upon to improve ERCOT functions and achieve more efficiency?</w:t>
      </w:r>
    </w:p>
    <w:p>
      <w:pPr>
        <w:pStyle w:val="Normal"/>
        <w:numPr>
          <w:ilvl w:val="0"/>
          <w:numId w:val="3"/>
        </w:numPr>
        <w:tabs>
          <w:tab w:val="left" w:pos="720" w:leader="none"/>
        </w:tabs>
        <w:ind w:hanging="360" w:start="720" w:end="0"/>
        <w:rPr/>
      </w:pPr>
      <w:r>
        <w:rPr/>
        <w:t>To what extent will a third-party independent consultant be relied upon to identify/improve any potential inaccuracy/inefficiency that may exist in software packages used by ERCOT to manage various markets?</w:t>
      </w:r>
    </w:p>
    <w:p>
      <w:pPr>
        <w:pStyle w:val="Normal"/>
        <w:rPr/>
      </w:pPr>
      <w:r>
        <w:rPr/>
      </w:r>
    </w:p>
    <w:p>
      <w:pPr>
        <w:pStyle w:val="Normal"/>
        <w:numPr>
          <w:ilvl w:val="0"/>
          <w:numId w:val="4"/>
        </w:numPr>
        <w:rPr>
          <w:color w:val="000000"/>
        </w:rPr>
      </w:pPr>
      <w:r>
        <w:rPr/>
        <w:t>Please explain what is meant by the phrase "optimal solution" on page 119 (6-28) of the Supplemental Filing under item 14?</w:t>
      </w:r>
      <w:r>
        <w:rPr>
          <w:color w:val="000000"/>
        </w:rPr>
        <w:t xml:space="preserve"> </w:t>
      </w:r>
    </w:p>
    <w:p>
      <w:pPr>
        <w:pStyle w:val="Normal"/>
        <w:rPr>
          <w:color w:val="000000"/>
        </w:rPr>
      </w:pPr>
      <w:r>
        <w:rPr>
          <w:color w:val="000000"/>
        </w:rPr>
      </w:r>
    </w:p>
    <w:p>
      <w:pPr>
        <w:pStyle w:val="Normal"/>
        <w:numPr>
          <w:ilvl w:val="0"/>
          <w:numId w:val="4"/>
        </w:numPr>
        <w:rPr>
          <w:color w:val="000000"/>
        </w:rPr>
      </w:pPr>
      <w:r>
        <w:rPr/>
        <w:t xml:space="preserve">Referring to page 144 (6-53) of the Supplemental Filing, please identify the conditions that will indicate "significant price chasing" and under which ERCOT will reduce "the percentage and MWH tolerance" mentioned in the last sentence under items 1 and 2?  </w:t>
      </w:r>
      <w:r>
        <w:rPr>
          <w:color w:val="000000"/>
        </w:rPr>
        <w:t xml:space="preserve"> Are these conditions transparent to market players?</w:t>
      </w:r>
    </w:p>
    <w:p>
      <w:pPr>
        <w:pStyle w:val="Normal"/>
        <w:rPr>
          <w:color w:val="000000"/>
        </w:rPr>
      </w:pPr>
      <w:r>
        <w:rPr>
          <w:color w:val="000000"/>
        </w:rPr>
      </w:r>
    </w:p>
    <w:p>
      <w:pPr>
        <w:pStyle w:val="Normal"/>
        <w:numPr>
          <w:ilvl w:val="0"/>
          <w:numId w:val="4"/>
        </w:numPr>
        <w:rPr/>
      </w:pPr>
      <w:r>
        <w:rPr/>
        <w:t>Please explain the changes needed to be made to the Protocols to ensure effective participation in the AS markets of resources acquired through the capacity entitlement auctions mandated by PURA and the Commission rules.  In particular, please explain how the following issues will be addressed:</w:t>
      </w:r>
    </w:p>
    <w:p>
      <w:pPr>
        <w:pStyle w:val="Normal"/>
        <w:rPr/>
      </w:pPr>
      <w:r>
        <w:rPr/>
      </w:r>
    </w:p>
    <w:p>
      <w:pPr>
        <w:pStyle w:val="Normal"/>
        <w:numPr>
          <w:ilvl w:val="0"/>
          <w:numId w:val="2"/>
        </w:numPr>
        <w:tabs>
          <w:tab w:val="left" w:pos="720" w:leader="none"/>
        </w:tabs>
        <w:ind w:hanging="360" w:start="720" w:end="0"/>
        <w:rPr/>
      </w:pPr>
      <w:r>
        <w:rPr/>
        <w:t>Non-unit specific nature of a major portion of the capacity entitlements (slice of the system rather than unit specific) and potential limitations in using the slice of the system to participate in different AS markets</w:t>
      </w:r>
    </w:p>
    <w:p>
      <w:pPr>
        <w:pStyle w:val="Normal"/>
        <w:numPr>
          <w:ilvl w:val="0"/>
          <w:numId w:val="2"/>
        </w:numPr>
        <w:tabs>
          <w:tab w:val="left" w:pos="720" w:leader="none"/>
        </w:tabs>
        <w:ind w:hanging="360" w:start="720" w:end="0"/>
        <w:rPr/>
      </w:pPr>
      <w:r>
        <w:rPr/>
        <w:t xml:space="preserve">How new holders of capacity entitlements can participate in the AS market to provide each of the four distinct products traded in that market. </w:t>
      </w:r>
    </w:p>
    <w:p>
      <w:pPr>
        <w:pStyle w:val="Normal"/>
        <w:ind w:hanging="360" w:start="360" w:end="0"/>
        <w:rPr/>
      </w:pPr>
      <w:r>
        <w:rPr/>
      </w:r>
    </w:p>
    <w:p>
      <w:pPr>
        <w:pStyle w:val="Normal"/>
        <w:numPr>
          <w:ilvl w:val="0"/>
          <w:numId w:val="4"/>
        </w:numPr>
        <w:rPr/>
      </w:pPr>
      <w:r>
        <w:rPr/>
        <w:t>Will the Public Utility Commission of Texas be in any way financially responsible for the preparation and operation of the Do Not Call List?</w:t>
      </w:r>
    </w:p>
    <w:p>
      <w:pPr>
        <w:pStyle w:val="Normal"/>
        <w:rPr>
          <w:color w:val="000000"/>
        </w:rPr>
      </w:pPr>
      <w:r>
        <w:rPr>
          <w:color w:val="000000"/>
        </w:rPr>
      </w:r>
    </w:p>
    <w:p>
      <w:pPr>
        <w:pStyle w:val="Normal"/>
        <w:numPr>
          <w:ilvl w:val="0"/>
          <w:numId w:val="4"/>
        </w:numPr>
        <w:rPr/>
      </w:pPr>
      <w:r>
        <w:rPr/>
        <w:t>As currently proposed, ERCOT, rather than the Commission, is responsible for certifying the Qualified Scheduling Entity (QSE). Please indicate steps taken within the Protocols to ensure that QSEs will not discriminate against non-affiliated market players.  If no specific provisions are included in the Protocols, please explain any changes you think will be necessary to address this concern.</w:t>
      </w:r>
    </w:p>
    <w:p>
      <w:pPr>
        <w:pStyle w:val="Normal"/>
        <w:rPr>
          <w:color w:val="000000"/>
        </w:rPr>
      </w:pPr>
      <w:r>
        <w:rPr>
          <w:color w:val="000000"/>
        </w:rPr>
      </w:r>
    </w:p>
    <w:p>
      <w:pPr>
        <w:pStyle w:val="Normal"/>
        <w:ind w:hanging="360" w:start="360" w:end="0"/>
        <w:rPr>
          <w:color w:val="000000"/>
        </w:rPr>
      </w:pPr>
      <w:r>
        <w:rPr>
          <w:color w:val="000000"/>
        </w:rPr>
      </w:r>
      <w:r>
        <w:br w:type="page"/>
      </w:r>
    </w:p>
    <w:p>
      <w:pPr>
        <w:pStyle w:val="Normal"/>
        <w:jc w:val="center"/>
        <w:rPr>
          <w:b/>
          <w:color w:val="000000"/>
          <w:sz w:val="32"/>
        </w:rPr>
      </w:pPr>
      <w:r>
        <w:rPr>
          <w:b/>
          <w:color w:val="000000"/>
          <w:sz w:val="32"/>
        </w:rPr>
        <w:t>Docket No. 23220</w:t>
      </w:r>
    </w:p>
    <w:p>
      <w:pPr>
        <w:pStyle w:val="Normal"/>
        <w:jc w:val="center"/>
        <w:rPr>
          <w:b/>
          <w:color w:val="000000"/>
          <w:sz w:val="32"/>
        </w:rPr>
      </w:pPr>
      <w:r>
        <w:rPr>
          <w:b/>
          <w:color w:val="000000"/>
          <w:sz w:val="32"/>
        </w:rPr>
        <w:t>Technical Conference</w:t>
      </w:r>
    </w:p>
    <w:p>
      <w:pPr>
        <w:pStyle w:val="Normal"/>
        <w:jc w:val="center"/>
        <w:rPr>
          <w:b/>
          <w:color w:val="000000"/>
          <w:sz w:val="32"/>
        </w:rPr>
      </w:pPr>
      <w:r>
        <w:rPr>
          <w:b/>
          <w:color w:val="000000"/>
          <w:sz w:val="32"/>
        </w:rPr>
        <w:t>January 19, 2001</w:t>
      </w:r>
    </w:p>
    <w:p>
      <w:pPr>
        <w:pStyle w:val="Normal"/>
        <w:jc w:val="center"/>
        <w:rPr>
          <w:b/>
          <w:color w:val="000000"/>
          <w:sz w:val="32"/>
        </w:rPr>
      </w:pPr>
      <w:r>
        <w:rPr>
          <w:b/>
          <w:color w:val="000000"/>
          <w:sz w:val="32"/>
        </w:rPr>
      </w:r>
    </w:p>
    <w:p>
      <w:pPr>
        <w:pStyle w:val="Normal"/>
        <w:jc w:val="center"/>
        <w:rPr>
          <w:b/>
          <w:color w:val="000000"/>
          <w:sz w:val="32"/>
        </w:rPr>
      </w:pPr>
      <w:r>
        <w:rPr>
          <w:b/>
          <w:color w:val="000000"/>
          <w:sz w:val="32"/>
        </w:rPr>
        <w:t>PUC Staff Selected Questions</w:t>
      </w:r>
    </w:p>
    <w:p>
      <w:pPr>
        <w:pStyle w:val="Normal"/>
        <w:rPr>
          <w:b/>
          <w:color w:val="000000"/>
          <w:sz w:val="32"/>
        </w:rPr>
      </w:pPr>
      <w:r>
        <w:rPr>
          <w:b/>
          <w:color w:val="000000"/>
          <w:sz w:val="32"/>
        </w:rPr>
      </w:r>
    </w:p>
    <w:p>
      <w:pPr>
        <w:pStyle w:val="Normal"/>
        <w:rPr>
          <w:color w:val="000000"/>
        </w:rPr>
      </w:pPr>
      <w:r>
        <w:rPr>
          <w:color w:val="000000"/>
        </w:rPr>
      </w:r>
    </w:p>
    <w:p>
      <w:pPr>
        <w:pStyle w:val="Heading2"/>
        <w:ind w:hanging="0" w:start="0"/>
        <w:jc w:val="center"/>
        <w:rPr>
          <w:color w:val="FF0000"/>
        </w:rPr>
      </w:pPr>
      <w:r>
        <w:rPr>
          <w:color w:val="FF0000"/>
        </w:rPr>
        <w:t>QUESTIONS REGARDING CONFIDENTIAL DOCUMENT</w:t>
      </w:r>
    </w:p>
    <w:p>
      <w:pPr>
        <w:pStyle w:val="Normal"/>
        <w:ind w:hanging="360" w:start="360" w:end="0"/>
        <w:rPr/>
      </w:pPr>
      <w:r>
        <w:rPr/>
        <w:t>Please add the following part (e) to the end of question no. 4:</w:t>
      </w:r>
    </w:p>
    <w:p>
      <w:pPr>
        <w:pStyle w:val="Normal"/>
        <w:ind w:hanging="360" w:start="360" w:end="0"/>
        <w:rPr/>
      </w:pPr>
      <w:r>
        <w:rPr/>
      </w:r>
    </w:p>
    <w:p>
      <w:pPr>
        <w:pStyle w:val="Normal"/>
        <w:numPr>
          <w:ilvl w:val="0"/>
          <w:numId w:val="5"/>
        </w:numPr>
        <w:tabs>
          <w:tab w:val="left" w:pos="720" w:leader="none"/>
        </w:tabs>
        <w:ind w:hanging="360" w:start="720" w:end="0"/>
        <w:rPr/>
      </w:pPr>
      <w:r>
        <w:rPr>
          <w:color w:val="000000"/>
        </w:rPr>
        <w:t>A step by step explanation of example 4.5.A 2 of the Addendum to ERCOT MOS Analytical Function Software Specification Document (SSD).</w:t>
      </w:r>
    </w:p>
    <w:p>
      <w:pPr>
        <w:pStyle w:val="Normal"/>
        <w:ind w:hanging="360" w:start="36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Georgi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240"/>
      <w:outlineLvl w:val="1"/>
    </w:pPr>
    <w:rPr>
      <w:rFonts w:ascii="Book Antiqua;Georgia" w:hAnsi="Book Antiqua;Georgia" w:cs="Book Antiqua;Georgia"/>
      <w:b/>
      <w:i/>
      <w:sz w:val="24"/>
    </w:rPr>
  </w:style>
  <w:style w:type="character" w:styleId="WW8Num1z0">
    <w:name w:val="WW8Num1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3">
    <w:name w:val="Style1"/>
    <w:basedOn w:val="Normal"/>
    <w:qFormat/>
    <w:pPr/>
    <w:rPr>
      <w:rFonts w:ascii="Book Antiqua;Georgia" w:hAnsi="Book Antiqua;Georgia" w:cs="Book Antiqua;Georgi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Book Antiqua;Georgia" w:hAnsi="Book Antiqua;Georgia" w:cs="Book Antiqua;Georgia"/>
      <w:sz w:val="22"/>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2001-01-12T16:28:00Z</dcterms:created>
  <dc:creator>sguermouche</dc:creator>
  <dc:description/>
  <dc:language>en-CA</dc:language>
  <cp:lastModifiedBy>Parviz Adib</cp:lastModifiedBy>
  <cp:lastPrinted>2001-01-12T11:38:00Z</cp:lastPrinted>
  <dcterms:modified xsi:type="dcterms:W3CDTF">2001-01-12T16:28:00Z</dcterms:modified>
  <cp:revision>2</cp:revision>
  <dc:subject/>
  <dc:title>5B</dc:title>
</cp:coreProperties>
</file>