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Affidavit of G. Alan Comnes</w:t>
      </w:r>
    </w:p>
    <w:p>
      <w:pPr>
        <w:pStyle w:val="Normal"/>
        <w:rPr>
          <w:b/>
          <w:sz w:val="24"/>
        </w:rPr>
      </w:pPr>
      <w:r>
        <w:rPr>
          <w:b/>
          <w:sz w:val="24"/>
        </w:rPr>
      </w:r>
    </w:p>
    <w:p>
      <w:pPr>
        <w:pStyle w:val="Normal"/>
        <w:rPr>
          <w:sz w:val="24"/>
        </w:rPr>
      </w:pPr>
      <w:r>
        <w:rPr>
          <w:sz w:val="24"/>
        </w:rPr>
      </w:r>
    </w:p>
    <w:p>
      <w:pPr>
        <w:pStyle w:val="Heading1"/>
        <w:ind w:hanging="0" w:start="0"/>
        <w:rPr/>
      </w:pPr>
      <w:r>
        <w:rPr/>
        <w:t>I.</w:t>
        <w:tab/>
        <w:t>INTRODUCTION</w:t>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November 1, 2000.  </w:t>
      </w:r>
    </w:p>
    <w:p>
      <w:pPr>
        <w:pStyle w:val="Normal"/>
        <w:rPr>
          <w:sz w:val="24"/>
        </w:rPr>
      </w:pPr>
      <w:r>
        <w:rPr>
          <w:sz w:val="24"/>
        </w:rPr>
      </w:r>
    </w:p>
    <w:p>
      <w:pPr>
        <w:pStyle w:val="Normal"/>
        <w:spacing w:lineRule="auto" w:line="360"/>
        <w:ind w:hanging="720" w:start="720" w:end="0"/>
        <w:rPr>
          <w:sz w:val="24"/>
        </w:rPr>
      </w:pPr>
      <w:r>
        <w:rPr>
          <w:sz w:val="24"/>
        </w:rPr>
      </w:r>
    </w:p>
    <w:p>
      <w:pPr>
        <w:pStyle w:val="Normal"/>
        <w:rPr>
          <w:sz w:val="24"/>
        </w:rPr>
      </w:pPr>
      <w:r>
        <w:rPr>
          <w:b/>
          <w:sz w:val="24"/>
        </w:rPr>
        <w:t>Q.</w:t>
        <w:tab/>
        <w:t>What is the purpose of your testimony.</w:t>
      </w:r>
    </w:p>
    <w:p>
      <w:pPr>
        <w:pStyle w:val="Normal"/>
        <w:rPr>
          <w:sz w:val="24"/>
        </w:rPr>
      </w:pPr>
      <w:r>
        <w:rPr>
          <w:sz w:val="24"/>
        </w:rPr>
      </w:r>
    </w:p>
    <w:p>
      <w:pPr>
        <w:pStyle w:val="BodyText2"/>
        <w:ind w:hanging="720" w:start="720" w:end="0"/>
        <w:rPr>
          <w:b w:val="false"/>
        </w:rPr>
      </w:pPr>
      <w:r>
        <w:rPr>
          <w:b w:val="false"/>
          <w:rPrChange w:id="0" w:author="Unknown" w:date="0-00-00T00:00:00Z"/>
        </w:rPr>
        <w:t>A.</w:t>
        <w:tab/>
        <w:t>In my affidavit I address several issues raised by the Commission’s November 1, 2000 Order (Order).  First, I attempt to clarify the definition of market power and show that the Commission is incorrect to rely on empirical studies that purport to measure market power as market prices above estimated generator costs.  Second, I detail the reliability consequences of prices caps and, in particular, how a low cap set at $150/MWh will severely hamper the development of peaking power resources in California.  Third, I explain why the Commission’s creation of a refund effective period and the requirement that incremental generation costs including opportunity costs will impose real costs on customers in California.  Fourth, I explain why the Commission should resist pressure to impose an imbalance penalty on generation.  Fifth and finally, I identify specific data that the ISO should make publicly available on a regular basis, data that will improve the efficiency of the market.</w:t>
      </w:r>
    </w:p>
    <w:p>
      <w:pPr>
        <w:pStyle w:val="BodyText2"/>
        <w:ind w:hanging="720" w:start="720" w:end="0"/>
        <w:rPr>
          <w:b w:val="false"/>
        </w:rPr>
      </w:pPr>
      <w:r>
        <w:rPr>
          <w:b w:val="false"/>
          <w:rPrChange w:id="0" w:author="Unknown" w:date="0-00-00T00:00:00Z"/>
        </w:rPr>
      </w:r>
    </w:p>
    <w:p>
      <w:pPr>
        <w:pStyle w:val="BodyText2"/>
        <w:ind w:hanging="720" w:start="720" w:end="0"/>
        <w:rPr>
          <w:b w:val="false"/>
        </w:rPr>
      </w:pPr>
      <w:r>
        <w:rPr>
          <w:b w:val="false"/>
          <w:rPrChange w:id="0" w:author="Unknown" w:date="0-00-00T00:00:00Z"/>
        </w:rPr>
      </w:r>
    </w:p>
    <w:p>
      <w:pPr>
        <w:pStyle w:val="BodyText2"/>
        <w:ind w:hanging="720" w:start="720" w:end="0"/>
        <w:rPr/>
      </w:pPr>
      <w:r>
        <w:rPr>
          <w:rPrChange w:id="0" w:author="Unknown" w:date="0-00-00T00:00:00Z"/>
        </w:rPr>
        <w:t xml:space="preserve">II.  </w:t>
        <w:tab/>
        <w:t>THE COMMISSION MUST CLARIFY THAT MARKET POWER IS NOT MEASURED BY PRICES ABOVE GENERATOR VARIABLE COSTS</w:t>
      </w:r>
    </w:p>
    <w:p>
      <w:pPr>
        <w:pStyle w:val="BodyText2"/>
        <w:ind w:hanging="720" w:start="720" w:end="0"/>
        <w:rPr/>
      </w:pPr>
      <w:r>
        <w:rPr>
          <w:rPrChange w:id="0" w:author="Unknown" w:date="0-00-00T00:00:00Z"/>
        </w:rPr>
      </w:r>
    </w:p>
    <w:p>
      <w:pPr>
        <w:pStyle w:val="BodyText2"/>
        <w:ind w:hanging="720" w:start="720" w:end="0"/>
        <w:rPr/>
      </w:pPr>
      <w:r>
        <w:rPr>
          <w:rPrChange w:id="0" w:author="Unknown" w:date="0-00-00T00:00:00Z"/>
        </w:rPr>
        <w:t>Q.</w:t>
        <w:tab/>
        <w:t>Do you agree with the way the Commission defined the measurement of market power in its Order?</w:t>
      </w:r>
    </w:p>
    <w:p>
      <w:pPr>
        <w:pStyle w:val="Normal"/>
        <w:rPr>
          <w:b/>
          <w:sz w:val="24"/>
        </w:rPr>
      </w:pPr>
      <w:r>
        <w:rPr>
          <w:b/>
          <w:sz w:val="24"/>
        </w:rPr>
      </w:r>
    </w:p>
    <w:p>
      <w:pPr>
        <w:pStyle w:val="Normal"/>
        <w:ind w:hanging="720" w:start="720" w:end="0"/>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is incorrect by implying that this measure of market power is the correct one to apply to individual generators or marketers with market-based rate authority.  Further, the definition quoted is not the only standard the staff relied  upon by staff in defining and measuring market power.  Instead, staff defines  “Market power as the ability of a seller to influence market outcomes, especially the market price for a sustained period.”</w:t>
      </w:r>
      <w:r>
        <w:rPr>
          <w:rStyle w:val="FootnoteCharacters"/>
          <w:rStyle w:val="FootnoteReference"/>
          <w:sz w:val="24"/>
        </w:rPr>
        <w:footnoteReference w:id="4"/>
      </w:r>
      <w:r>
        <w:rPr>
          <w:sz w:val="24"/>
        </w:rPr>
        <w:t xml:space="preserve">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5"/>
      </w:r>
      <w:r>
        <w:rPr>
          <w:sz w:val="24"/>
        </w:rPr>
        <w:t xml:space="preserve">  This important distinction is lost when the order goes straight to the mechanical definition “prices above SRMC.”   Because all empirical measures of SRMC have failed to incorporate scarcity rents or shortage costs, they cannot be relied upon as the basis of measuring market power.  The proper test of generator market power should remain a prospective test of generator market share for the relevant geographic market. </w:t>
      </w:r>
    </w:p>
    <w:p>
      <w:pPr>
        <w:pStyle w:val="Normal"/>
        <w:rPr>
          <w:sz w:val="24"/>
        </w:rPr>
      </w:pPr>
      <w:r>
        <w:rPr>
          <w:sz w:val="24"/>
        </w:rPr>
      </w:r>
    </w:p>
    <w:p>
      <w:pPr>
        <w:pStyle w:val="Heading1"/>
        <w:ind w:hanging="720" w:start="720" w:end="0"/>
        <w:rPr/>
      </w:pPr>
      <w:r>
        <w:rPr/>
        <w:t>Q.</w:t>
        <w:tab/>
        <w:t xml:space="preserve">Do you agree with the technical studies relied on in the Staff’s reports concerning proof of market power? </w:t>
      </w:r>
    </w:p>
    <w:p>
      <w:pPr>
        <w:pStyle w:val="Normal"/>
        <w:rPr>
          <w:sz w:val="24"/>
        </w:rPr>
      </w:pPr>
      <w:r>
        <w:rPr>
          <w:sz w:val="24"/>
        </w:rPr>
      </w:r>
    </w:p>
    <w:p>
      <w:pPr>
        <w:pStyle w:val="Normal"/>
        <w:ind w:hanging="720" w:start="720" w:end="0"/>
        <w:rPr/>
      </w:pPr>
      <w:r>
        <w:rPr>
          <w:sz w:val="24"/>
          <w:lang w:val="en-AU"/>
        </w:rPr>
        <w:t>A.</w:t>
        <w:tab/>
        <w:t>No.  Technical studies purporting to measure market power referenced by parties in this proceeding, including staff’s report, are fundamentally flawed in a number of key respects. The problems that have been identified in these studies range from conceptually unsupportable bidding and pricing models to serious questions about the validity of the data that has been used.</w:t>
      </w:r>
      <w:r>
        <w:rPr>
          <w:rStyle w:val="FootnoteCharacters"/>
          <w:rStyle w:val="FootnoteReference"/>
          <w:sz w:val="24"/>
          <w:lang w:val="en-AU"/>
        </w:rPr>
        <w:footnoteReference w:id="6"/>
      </w:r>
      <w:r>
        <w:rPr>
          <w:sz w:val="24"/>
          <w:lang w:val="en-AU"/>
        </w:rPr>
        <w:t xml:space="preserve"> </w:t>
      </w:r>
    </w:p>
    <w:p>
      <w:pPr>
        <w:pStyle w:val="Normal"/>
        <w:rPr>
          <w:sz w:val="24"/>
          <w:lang w:val="en-AU"/>
        </w:rPr>
      </w:pPr>
      <w:r>
        <w:rPr>
          <w:sz w:val="24"/>
          <w:lang w:val="en-AU"/>
        </w:rPr>
      </w:r>
    </w:p>
    <w:p>
      <w:pPr>
        <w:pStyle w:val="BodyTextIndent2"/>
        <w:rPr>
          <w:lang w:val="en-AU"/>
        </w:rPr>
      </w:pPr>
      <w:r>
        <w:rPr>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rPr>
          <w:sz w:val="24"/>
          <w:lang w:val="en-AU"/>
        </w:rPr>
      </w:pPr>
      <w:r>
        <w:rPr>
          <w:sz w:val="24"/>
          <w:lang w:val="en-AU"/>
        </w:rPr>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Scarcity rents are legitimately reflected in prices when capacity is limited. The value of a given unit of output when capacity is short is not just what it costs to produce, but the social cost that would be incurred if that unit were not produced. This is the concept of scarcity rents, and it forms an integral and legitimate part of SRMC.</w:t>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was as high or higher than market prices in California.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on opportunity costs is contained below.</w:t>
      </w:r>
    </w:p>
    <w:p>
      <w:pPr>
        <w:pStyle w:val="ListBullet1"/>
        <w:numPr>
          <w:ilvl w:val="0"/>
          <w:numId w:val="11"/>
        </w:numPr>
        <w:ind w:hanging="0" w:start="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permits. Such cost increases will feed into bids and market clearing prices of generated power. These costs can vary on a daily or hourly basis.  Reports that attempt to measure such costs use monthly averages and therefore inaccurately measure the cost of these inputs.</w:t>
      </w:r>
    </w:p>
    <w:p>
      <w:pPr>
        <w:pStyle w:val="4SubPara"/>
        <w:ind w:hanging="720" w:start="720" w:end="0"/>
        <w:rPr>
          <w:rFonts w:ascii="Times New Roman" w:hAnsi="Times New Roman" w:cs="Times New Roman"/>
          <w:sz w:val="24"/>
        </w:rPr>
      </w:pPr>
      <w:r>
        <w:rPr>
          <w:rFonts w:cs="Times New Roman" w:ascii="Times New Roman" w:hAnsi="Times New Roman"/>
          <w:sz w:val="24"/>
        </w:rPr>
        <w:t>Q.</w:t>
        <w:tab/>
        <w:t>Did the California ISO’s Market Surveillance Committee (MSC) report cited in the Staff Report Adequately Measure Market Power?</w:t>
      </w:r>
    </w:p>
    <w:p>
      <w:pPr>
        <w:pStyle w:val="Normal"/>
        <w:numPr>
          <w:ilvl w:val="0"/>
          <w:numId w:val="3"/>
        </w:numPr>
        <w:rPr>
          <w:sz w:val="24"/>
        </w:rPr>
      </w:pPr>
      <w:r>
        <w:rPr>
          <w:sz w:val="24"/>
        </w:rPr>
        <w:t>No, the California ISO Market Surveillance Committee report cited by Commission staff is based on a numerical study that contains  flaws that render it unreliable for measuring SRMC and, therefore, unreliable for any conclusions regarding market power. The MSC, in turn relied upon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ind w:start="720" w:end="0"/>
        <w:rPr/>
      </w:pPr>
      <w:r>
        <w:rPr>
          <w:sz w:val="24"/>
        </w:rPr>
        <w:t>From a conceptual point of view, the MSC analysis fails to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rPr>
          <w:sz w:val="24"/>
        </w:rPr>
      </w:pPr>
      <w:r>
        <w:rPr>
          <w:sz w:val="24"/>
        </w:rPr>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BodyTextIndent2"/>
        <w:rPr/>
      </w:pPr>
      <w:r>
        <w:rPr/>
        <w:t>In summary, it is evident that the modeling analysis relied upon by the MSC is so flawed that it cannot be relied upon by the Commission in making any conclusions with regards to market power.    Given that use of prices above SRMC is not  the existing Commission test for measuring individual generator market power, it would be imprudent to use it as the basis of removing market based rate authority.  Rather than continue to focus on building new and complicated measures of market power, the better approach is to focus on long-term improvements to market structure and the availability of resources, which will bring about competitive benefits in the most rapid manner.</w:t>
      </w:r>
    </w:p>
    <w:p>
      <w:pPr>
        <w:pStyle w:val="BodyTextIndent2"/>
        <w:ind w:start="0" w:end="0"/>
        <w:rPr/>
      </w:pPr>
      <w:r>
        <w:rPr/>
      </w:r>
    </w:p>
    <w:p>
      <w:pPr>
        <w:pStyle w:val="BodyTextIndent2"/>
        <w:ind w:hanging="720" w:end="0"/>
        <w:rPr/>
      </w:pPr>
      <w:r>
        <w:rPr/>
        <w:t>Q.</w:t>
        <w:tab/>
      </w:r>
      <w:r>
        <w:rPr>
          <w:b/>
        </w:rPr>
        <w:t xml:space="preserve">Is there any analysis of market power that relied upon actual market performance rather than hypothetical modeling exercises? </w:t>
      </w:r>
    </w:p>
    <w:p>
      <w:pPr>
        <w:pStyle w:val="Normal"/>
        <w:ind w:start="720" w:end="0"/>
        <w:rPr>
          <w:b/>
          <w:sz w:val="24"/>
        </w:rPr>
      </w:pPr>
      <w:r>
        <w:rPr>
          <w:b/>
          <w:sz w:val="24"/>
        </w:rPr>
      </w:r>
    </w:p>
    <w:p>
      <w:pPr>
        <w:pStyle w:val="Normal"/>
        <w:numPr>
          <w:ilvl w:val="0"/>
          <w:numId w:val="5"/>
        </w:numPr>
        <w:rPr>
          <w:sz w:val="24"/>
        </w:rPr>
      </w:pPr>
      <w:r>
        <w:rPr>
          <w:sz w:val="24"/>
        </w:rPr>
        <w:t xml:space="preserve">Yes. The California PX Compliance Unit (Compliance Unit) studied what types of suppliers were on the margin during the summer price run ups. The Compliance Unit’s findings, based on actual market performance data (rather than the ISO’s theoretical models) paint a different picture with respect to the exercise of market power by generators. The Compliance Unit found there to be many suppliers on the margin in “high” ($100/MWh or greater) price hours: </w:t>
      </w:r>
    </w:p>
    <w:p>
      <w:pPr>
        <w:pStyle w:val="Normal"/>
        <w:rPr>
          <w:sz w:val="24"/>
        </w:rPr>
      </w:pPr>
      <w:r>
        <w:rPr>
          <w:sz w:val="24"/>
        </w:rPr>
      </w:r>
    </w:p>
    <w:p>
      <w:pPr>
        <w:pStyle w:val="Normal"/>
        <w:ind w:start="1080" w:end="720"/>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rPr>
          <w:sz w:val="24"/>
        </w:rPr>
      </w:pPr>
      <w:r>
        <w:rPr>
          <w:sz w:val="24"/>
        </w:rPr>
      </w:r>
    </w:p>
    <w:p>
      <w:pPr>
        <w:pStyle w:val="Normal"/>
        <w:ind w:start="1080" w:end="720"/>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rPr/>
      </w:pPr>
      <w:r>
        <w:rPr/>
        <w:t xml:space="preserve">The Compliance Unit concluded that this summer’s price run ups was not due to the exercise of market power of individual suppliers but, instead, due to resource scarcity and increases in the input costs for electricity. </w:t>
      </w:r>
      <w:r>
        <w:br w:type="page"/>
      </w:r>
    </w:p>
    <w:p>
      <w:pPr>
        <w:pStyle w:val="BodyTextIndent2"/>
        <w:rPr/>
      </w:pPr>
      <w:r>
        <w:rPr/>
      </w:r>
    </w:p>
    <w:p>
      <w:pPr>
        <w:pStyle w:val="BodyTextIndent2"/>
        <w:ind w:start="0" w:end="0"/>
        <w:rPr>
          <w:b/>
        </w:rPr>
      </w:pPr>
      <w:r>
        <w:rPr>
          <w:b/>
        </w:rPr>
        <w:t xml:space="preserve">III.  </w:t>
        <w:tab/>
        <w:t>THE COMMISSION’S PROPOSED PRICE MITIGATION MEASURES WILL DEGRADE RELIABILITY IN CALIFORNIA</w:t>
      </w:r>
    </w:p>
    <w:p>
      <w:pPr>
        <w:pStyle w:val="BodyTextIndent2"/>
        <w:rPr>
          <w:b/>
        </w:rPr>
      </w:pPr>
      <w:r>
        <w:rPr>
          <w:b/>
        </w:rPr>
      </w:r>
    </w:p>
    <w:p>
      <w:pPr>
        <w:pStyle w:val="BodyTextIndent2"/>
        <w:ind w:start="0" w:end="0"/>
        <w:rPr>
          <w:b/>
        </w:rPr>
      </w:pPr>
      <w:r>
        <w:rPr>
          <w:b/>
        </w:rPr>
        <w:t>Q.</w:t>
        <w:tab/>
        <w:t>What is your general position about price caps?</w:t>
      </w:r>
    </w:p>
    <w:p>
      <w:pPr>
        <w:pStyle w:val="BodyTextIndent2"/>
        <w:rPr>
          <w:b/>
        </w:rPr>
      </w:pPr>
      <w:r>
        <w:rPr>
          <w:b/>
        </w:rPr>
      </w:r>
    </w:p>
    <w:p>
      <w:pPr>
        <w:pStyle w:val="BodyTextIndent"/>
        <w:rPr/>
      </w:pPr>
      <w:r>
        <w:rPr/>
        <w:t>A.</w:t>
        <w:tab/>
        <w:t>In the long-run, Enron believes any price cap will harm, not help, consumers.  The Commission must resist calls for stringent caps and should instead focus on additional market reforms: incentives to forward contract, reductions to barriers to new capacity, and improved transmission access.</w:t>
      </w:r>
    </w:p>
    <w:p>
      <w:pPr>
        <w:pStyle w:val="Normal"/>
        <w:rPr>
          <w:sz w:val="24"/>
        </w:rPr>
      </w:pPr>
      <w:r>
        <w:rPr>
          <w:sz w:val="24"/>
        </w:rPr>
      </w:r>
    </w:p>
    <w:p>
      <w:pPr>
        <w:pStyle w:val="BodyTextIndent2"/>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BodyTextIndent2"/>
        <w:rPr/>
      </w:pPr>
      <w:r>
        <w:rPr/>
      </w:r>
    </w:p>
    <w:p>
      <w:pPr>
        <w:pStyle w:val="Normal"/>
        <w:rPr>
          <w:b/>
          <w:sz w:val="24"/>
        </w:rPr>
      </w:pPr>
      <w:r>
        <w:rPr>
          <w:b/>
          <w:sz w:val="24"/>
        </w:rPr>
        <w:t>Q.</w:t>
        <w:tab/>
        <w:t xml:space="preserve">Are the Commission proposed price mitigation measures and refund liabilities clear? </w:t>
      </w:r>
    </w:p>
    <w:p>
      <w:pPr>
        <w:pStyle w:val="Normal"/>
        <w:rPr>
          <w:b/>
          <w:sz w:val="24"/>
        </w:rPr>
      </w:pPr>
      <w:r>
        <w:rPr>
          <w:b/>
          <w:sz w:val="24"/>
        </w:rPr>
      </w:r>
    </w:p>
    <w:p>
      <w:pPr>
        <w:pStyle w:val="BodyTextIndent"/>
        <w:rPr/>
      </w:pPr>
      <w:r>
        <w:rPr/>
        <w:t>A.</w:t>
        <w:tab/>
        <w:t xml:space="preserve">No.  Although Enron opposes price caps and refund liability, to the extent that the Commission nevertheless imposes these measures, several aspects  must be clarified.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t>
      </w:r>
    </w:p>
    <w:p>
      <w:pPr>
        <w:pStyle w:val="Normal"/>
        <w:rPr>
          <w:sz w:val="24"/>
        </w:rPr>
      </w:pPr>
      <w:r>
        <w:rPr>
          <w:sz w:val="24"/>
        </w:rPr>
      </w:r>
    </w:p>
    <w:p>
      <w:pPr>
        <w:pStyle w:val="BodyTextIndent3"/>
        <w:rPr/>
      </w:pPr>
      <w:r>
        <w:rPr/>
        <w:t xml:space="preserve">Q. </w:t>
        <w:tab/>
        <w:t>Will the Commission’s proposed price mitigation measures facilitate reliability and promote the development of a fully functioning market?</w:t>
      </w:r>
    </w:p>
    <w:p>
      <w:pPr>
        <w:pStyle w:val="Normal"/>
        <w:rPr>
          <w:sz w:val="24"/>
        </w:rPr>
      </w:pPr>
      <w:r>
        <w:rPr>
          <w:sz w:val="24"/>
        </w:rPr>
      </w:r>
    </w:p>
    <w:p>
      <w:pPr>
        <w:pStyle w:val="Normal"/>
        <w:ind w:hanging="720" w:start="720" w:end="0"/>
        <w:rPr>
          <w:sz w:val="24"/>
        </w:rPr>
      </w:pPr>
      <w:r>
        <w:rPr>
          <w:sz w:val="24"/>
        </w:rPr>
        <w:t xml:space="preserve">A. </w:t>
        <w:tab/>
        <w:t xml:space="preserve">No.  </w:t>
      </w:r>
    </w:p>
    <w:p>
      <w:pPr>
        <w:pStyle w:val="Normal"/>
        <w:ind w:hanging="720" w:start="720" w:end="0"/>
        <w:rPr>
          <w:sz w:val="24"/>
        </w:rPr>
      </w:pPr>
      <w:r>
        <w:rPr>
          <w:sz w:val="24"/>
        </w:rPr>
      </w:r>
    </w:p>
    <w:p>
      <w:pPr>
        <w:pStyle w:val="Normal"/>
        <w:ind w:start="720" w:end="0"/>
        <w:rPr/>
      </w:pPr>
      <w:r>
        <w:rPr>
          <w:sz w:val="24"/>
        </w:rPr>
        <w:t>The Order renders null and void the load-differentiated price cap adopted by the ISO 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this “soft cap” may be accepted but will not affect the single price auction and will be required to submit documentation on the cost of the bid.</w:t>
      </w:r>
      <w:r>
        <w:rPr>
          <w:rStyle w:val="FootnoteCharacters"/>
          <w:rStyle w:val="FootnoteReference"/>
          <w:sz w:val="24"/>
        </w:rPr>
        <w:footnoteReference w:id="14"/>
      </w:r>
      <w:r>
        <w:rPr>
          <w:sz w:val="24"/>
        </w:rPr>
        <w:t xml:space="preserve">  Further, until the $150/MWh cap goes into effect, the ISO and the PX will be reporting to the Commission all bids over $150MWh.  Meanwhile, the ISO’s out-of-market deals apparently do not have to be reported to FERC (because they are not bid into the ISO) and are not subject to dispute by market participants because the ISO publishes no information about them.</w:t>
      </w:r>
    </w:p>
    <w:p>
      <w:pPr>
        <w:pStyle w:val="Normal"/>
        <w:rPr>
          <w:sz w:val="24"/>
        </w:rPr>
      </w:pPr>
      <w:r>
        <w:rPr>
          <w:sz w:val="24"/>
        </w:rPr>
      </w:r>
    </w:p>
    <w:p>
      <w:pPr>
        <w:pStyle w:val="BodyTextIndent2"/>
        <w:rPr/>
      </w:pPr>
      <w:r>
        <w:rPr/>
        <w:t>Enron cannot over-emphasize the severe and potentially unintended consequences that will be caused by the Commission’s reporting requirements and refund liability.  Sellers who submit bids above the soft cap and comply with the Commission’s reporting requirements will face the considerable financial risks associated with refunds. A clear effect will be to remove liquidity from the PX and ISO markets.  Whether the soft cap imposes simply costs on the market (i.e., bidders reflect reporting costs and risk in their bid but otherwise submit power to the California market) or causes severe reliability impacts (i.e., bidders seeing too high reporting costs and too much refund liability risk simply stay out of the California market) cannot be predicted and Enron strongly cautions against such risky experimentation.</w:t>
      </w:r>
    </w:p>
    <w:p>
      <w:pPr>
        <w:pStyle w:val="Normal"/>
        <w:rPr>
          <w:sz w:val="24"/>
        </w:rPr>
      </w:pPr>
      <w:r>
        <w:rPr>
          <w:sz w:val="24"/>
        </w:rPr>
      </w:r>
    </w:p>
    <w:p>
      <w:pPr>
        <w:pStyle w:val="BodyText2"/>
        <w:ind w:hanging="720" w:start="720" w:end="0"/>
        <w:rPr/>
      </w:pPr>
      <w:r>
        <w:rPr>
          <w:rPrChange w:id="0" w:author="Unknown" w:date="0-00-00T00:00:00Z"/>
        </w:rPr>
        <w:t xml:space="preserve">Q. </w:t>
        <w:tab/>
        <w:t>Are there other examples of power markets that have avoided the reliability problems exacerbated by price caps?</w:t>
      </w:r>
    </w:p>
    <w:p>
      <w:pPr>
        <w:pStyle w:val="Normal"/>
        <w:rPr>
          <w:sz w:val="24"/>
        </w:rPr>
      </w:pPr>
      <w:r>
        <w:rPr>
          <w:sz w:val="24"/>
        </w:rPr>
      </w:r>
    </w:p>
    <w:p>
      <w:pPr>
        <w:pStyle w:val="BodyTextIndent"/>
        <w:rPr/>
      </w:pPr>
      <w:r>
        <w:rPr/>
        <w:t>A.</w:t>
        <w:tab/>
        <w:t>As the Commission is well aware, developing market structures to ensure a well functioning market and competitive benefits is an issue in other parts of the country.   The Commission, in conjunction with the states, is allowing different approaches to achieve such goals and its experience in the Midwest provides a valuable lesson.  There, the Commission’s staff recognized the importance of price in inducing new supply when it analyzed market conditions in the Midwest.  The Midwest refrained from instituting price caps and has had, as a result, a responsive supply market:</w:t>
      </w:r>
    </w:p>
    <w:p>
      <w:pPr>
        <w:pStyle w:val="Normal"/>
        <w:rPr>
          <w:sz w:val="24"/>
        </w:rPr>
      </w:pPr>
      <w:r>
        <w:rPr>
          <w:sz w:val="24"/>
        </w:rPr>
      </w:r>
    </w:p>
    <w:p>
      <w:pPr>
        <w:pStyle w:val="BlockText"/>
        <w:ind w:start="1440" w:end="720"/>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BodyTextIndent2"/>
        <w:rPr/>
      </w:pPr>
      <w:r>
        <w:rPr/>
        <w:t>Enron reiterates that a focus on capacity expansion and improved transmission access—not price caps--are the key to solving California’s current problems.</w:t>
      </w:r>
    </w:p>
    <w:p>
      <w:pPr>
        <w:pStyle w:val="Normal"/>
        <w:rPr>
          <w:sz w:val="24"/>
        </w:rPr>
      </w:pPr>
      <w:r>
        <w:rPr>
          <w:sz w:val="24"/>
        </w:rPr>
      </w:r>
    </w:p>
    <w:p>
      <w:pPr>
        <w:pStyle w:val="Heading1"/>
        <w:ind w:hanging="0" w:start="0"/>
        <w:rPr/>
      </w:pPr>
      <w:r>
        <w:rPr/>
        <w:t xml:space="preserve">Q.  </w:t>
        <w:tab/>
        <w:t>Will the Commission’s Order Further the Development of Demand Side Resources?</w:t>
      </w:r>
    </w:p>
    <w:p>
      <w:pPr>
        <w:pStyle w:val="Normal"/>
        <w:rPr>
          <w:sz w:val="24"/>
        </w:rPr>
      </w:pPr>
      <w:r>
        <w:rPr>
          <w:sz w:val="24"/>
        </w:rPr>
      </w:r>
    </w:p>
    <w:p>
      <w:pPr>
        <w:pStyle w:val="BodyTextIndent"/>
        <w:rPr/>
      </w:pPr>
      <w:r>
        <w:rPr/>
        <w:t xml:space="preserve">A. </w:t>
        <w:tab/>
        <w:t>No.  Price caps will squelch the development of a meaningful market for price-responsive demand. Voluntary curtailable demand simply does not exist at material levels below  $250/MWh.  In fact, Enron has observed that most curtailable load has a reservation price at or above $1,500/MWh.  It is commendable that the Commission itself states “We direct the ISO and Scheduling Coordinators to consider demand bidding programs in which loads can bid offers of demand reduction directly into the market to compete with offers of supply.” (p. 36).  Unfortunately, because of the Commission’s reliance on price caps, few demand-side resources will be made available in the marketplace.</w:t>
      </w:r>
    </w:p>
    <w:p>
      <w:pPr>
        <w:pStyle w:val="Normal"/>
        <w:rPr>
          <w:sz w:val="24"/>
        </w:rPr>
      </w:pPr>
      <w:r>
        <w:rPr>
          <w:sz w:val="24"/>
        </w:rPr>
      </w:r>
    </w:p>
    <w:p>
      <w:pPr>
        <w:pStyle w:val="Normal"/>
        <w:ind w:start="720" w:end="0"/>
        <w:rPr/>
      </w:pPr>
      <w:r>
        <w:rPr>
          <w:sz w:val="24"/>
        </w:rPr>
        <w:t>The Order’s nominal exemption of the Demand Response programs from the $150/MWh soft cap will not bring such load to the market, unless the ISO or other SC that operate the program receives a subsidy.</w:t>
      </w:r>
      <w:r>
        <w:rPr>
          <w:rStyle w:val="FootnoteCharacters"/>
          <w:rStyle w:val="FootnoteReference"/>
          <w:sz w:val="24"/>
        </w:rPr>
        <w:footnoteReference w:id="16"/>
      </w:r>
      <w:r>
        <w:rPr>
          <w:sz w:val="24"/>
        </w:rPr>
        <w:t xml:space="preserve">  So long as there are price caps, a rational end-use customer will not put  demand up for bid if the customer knows it will be competing with supply that has a price capped at a low level.</w:t>
      </w:r>
    </w:p>
    <w:p>
      <w:pPr>
        <w:pStyle w:val="Normal"/>
        <w:rPr>
          <w:sz w:val="24"/>
        </w:rPr>
      </w:pPr>
      <w:r>
        <w:rPr>
          <w:sz w:val="24"/>
        </w:rPr>
      </w:r>
    </w:p>
    <w:p>
      <w:pPr>
        <w:pStyle w:val="BodyTextIndent2"/>
        <w:rPr/>
      </w:pPr>
      <w:r>
        <w:rPr/>
        <w:t xml:space="preserve">Enron has developed demand responsive loads with its retail customers.  In one type of program, Enron will curtail a customer if the expected spot price of power exceeds the customer’s reservation price, which reflects its cost of curtailing demand (usually the lost profit of curtailed production).  Enron shares with the customer the savings between the cost of generation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0" w:start="0"/>
        <w:rPr>
          <w:b/>
          <w:i w:val="false"/>
          <w:i w:val="false"/>
        </w:rPr>
      </w:pPr>
      <w:r>
        <w:rPr>
          <w:b/>
          <w:i w:val="false"/>
        </w:rPr>
        <w:t>Q.</w:t>
        <w:tab/>
        <w:t>How Wide is the Disparity Between the Proposed Caps and the Cost of New Peaking Resources?</w:t>
      </w:r>
    </w:p>
    <w:p>
      <w:pPr>
        <w:pStyle w:val="Normal"/>
        <w:rPr>
          <w:b/>
          <w:i/>
          <w:i/>
          <w:sz w:val="24"/>
        </w:rPr>
      </w:pPr>
      <w:r>
        <w:rPr>
          <w:b/>
          <w:i/>
          <w:sz w:val="24"/>
        </w:rPr>
      </w:r>
    </w:p>
    <w:p>
      <w:pPr>
        <w:pStyle w:val="Heading3"/>
        <w:ind w:hanging="0" w:start="0"/>
        <w:rPr/>
      </w:pPr>
      <w:r>
        <w:rPr/>
        <w:t>A.</w:t>
        <w:tab/>
        <w:t>Wide and getting wider. Peaking resources normally operate at capacity factors below 15% and have unit cost well in excess of  $250/ MWh.  Price caps, or even the threat of caps, kill the market incentives to construct such plants.  The Commission’s Order, which signaled the continuation of low price caps and places increased scrutiny on any sales above $150/MWh, immediately reduced capacity available to California.  Calpine and Enron cancelled 574 MW of peaking capacity scheduled for completion by summer 2001.  This capacity had been proposed in response to the ISO’s request for proposals for 2,045 MW of peaking resources.</w:t>
      </w:r>
      <w:r>
        <w:rPr>
          <w:rStyle w:val="FootnoteCharacters"/>
          <w:rStyle w:val="FootnoteReference"/>
        </w:rPr>
        <w:footnoteReference w:id="17"/>
      </w:r>
      <w:r>
        <w:rPr/>
        <w:t xml:space="preserve">  The continuation of price caps as signaled by the Order contributed to the economic uncertainty that led to these projects’ demise.</w:t>
      </w:r>
    </w:p>
    <w:p>
      <w:pPr>
        <w:pStyle w:val="BodyTextIndent"/>
        <w:ind w:hanging="0" w:start="0" w:end="0"/>
        <w:rPr/>
      </w:pPr>
      <w:r>
        <w:rPr/>
      </w:r>
    </w:p>
    <w:p>
      <w:pPr>
        <w:pStyle w:val="BodyTextIndent"/>
        <w:ind w:hanging="0" w:start="0" w:end="0"/>
        <w:rPr/>
      </w:pPr>
      <w:r>
        <w:rPr/>
        <w:t>Ironically, just as the Commission faces pressure to lower rather than lift price caps, the cost of peaking capacity located near load centers in California is on the increase.   In data presented this summer Enron estimated that the installed cost of a 48 MW (gross) LM6000 turbine was $27 million.  Current estimates for the same unit are $40 million, or over $900/KW (net) (Table 1). Higher costs in California are due to strict permitting requirements,</w:t>
      </w:r>
      <w:r>
        <w:rPr>
          <w:rStyle w:val="FootnoteCharacters"/>
          <w:rStyle w:val="FootnoteReference"/>
        </w:rPr>
        <w:footnoteReference w:id="18"/>
      </w:r>
      <w:r>
        <w:rPr/>
        <w:t xml:space="preserve"> the cost of air quality offsets, and high labor costs in construction trades.</w:t>
      </w:r>
      <w:r>
        <w:rPr>
          <w:rStyle w:val="FootnoteCharacters"/>
          <w:rStyle w:val="FootnoteReference"/>
        </w:rPr>
        <w:footnoteReference w:id="19"/>
      </w:r>
      <w:r>
        <w:rPr/>
        <w:t xml:space="preserve"> </w:t>
      </w:r>
      <w:r>
        <w:br w:type="page"/>
      </w:r>
    </w:p>
    <w:p>
      <w:pPr>
        <w:pStyle w:val="BodyTextIndent"/>
        <w:ind w:hanging="0" w:start="0" w:end="0"/>
        <w:rPr>
          <w:b/>
        </w:rPr>
      </w:pPr>
      <w:r>
        <w:rPr>
          <w:b/>
        </w:rPr>
        <w:t>[CENTER TABLE]</w:t>
      </w:r>
    </w:p>
    <w:p>
      <w:pPr>
        <w:pStyle w:val="BodyTextIndent"/>
        <w:ind w:hanging="0" w:start="0" w:end="0"/>
        <w:rPr/>
      </w:pPr>
      <w:r>
        <w:rPr/>
        <w:t>Table 1.  California Peaker Plant Economics</w:t>
      </w:r>
    </w:p>
    <w:tbl>
      <w:tblPr>
        <w:tblW w:w="4710" w:type="dxa"/>
        <w:jc w:val="start"/>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Technology: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GE LM 6000</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 xml:space="preserve">Fuel:  </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Natural Gas</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Heat Rate: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10,000 Btu/kWh</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Capacity: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48 MW (45 MW net)</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Capital Structure: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60% debt/40% equity</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Debt</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9%</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Cost of Equity (after tax)</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Amortization Term (yrs)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Total Cost to Build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Fuel Cost ($/MWh @ $4.35/MMBtu gas)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4.35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Variable O&amp;M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Effective Emission Offset Cost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10.00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Annual Fixed O&amp;M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1.90</w:t>
            </w:r>
          </w:p>
        </w:tc>
      </w:tr>
    </w:tbl>
    <w:p>
      <w:pPr>
        <w:pStyle w:val="BodyTextIndent"/>
        <w:ind w:hanging="0" w:start="0" w:end="0"/>
        <w:rPr/>
      </w:pPr>
      <w:r>
        <w:rPr/>
      </w:r>
      <w:r>
        <w:br w:type="page"/>
      </w:r>
    </w:p>
    <w:p>
      <w:pPr>
        <w:pStyle w:val="BodyTextIndent"/>
        <w:ind w:hanging="0" w:start="0" w:end="0"/>
        <w:rPr/>
      </w:pPr>
      <w:r>
        <w:rPr/>
      </w:r>
    </w:p>
    <w:p>
      <w:pPr>
        <w:pStyle w:val="BodyTextIndent"/>
        <w:ind w:hanging="0" w:end="0"/>
        <w:rPr/>
      </w:pPr>
      <w:r>
        <w:drawing>
          <wp:anchor behindDoc="0" distT="0" distB="0" distL="114935" distR="114935" simplePos="0" locked="0" layoutInCell="0" allowOverlap="1" relativeHeight="23">
            <wp:simplePos x="0" y="0"/>
            <wp:positionH relativeFrom="column">
              <wp:posOffset>594360</wp:posOffset>
            </wp:positionH>
            <wp:positionV relativeFrom="paragraph">
              <wp:posOffset>1287780</wp:posOffset>
            </wp:positionV>
            <wp:extent cx="4937760" cy="3374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937760" cy="3374390"/>
                    </a:xfrm>
                    <a:prstGeom prst="rect">
                      <a:avLst/>
                    </a:prstGeom>
                    <a:noFill/>
                  </pic:spPr>
                </pic:pic>
              </a:graphicData>
            </a:graphic>
          </wp:anchor>
        </w:drawing>
      </w:r>
      <w:r>
        <w:rPr/>
        <w:t>Even over the period September 1, 1999 to August 31, 2000, when market prices were strong and prices were for the most part capped at $750/MWh, a hypothetical peaking unit would not have provided a market return on equity capital (Figure 1).</w:t>
      </w:r>
      <w:r>
        <w:rPr>
          <w:rStyle w:val="FootnoteCharacters"/>
          <w:rStyle w:val="FootnoteReference"/>
        </w:rPr>
        <w:footnoteReference w:id="20"/>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$750/MWh--had it been in effect during this period--would have made this peaking project significantly less profitable.  At a cap of $250/MWh, annual equity returns would have gone negative. </w:t>
      </w:r>
    </w:p>
    <w:p>
      <w:pPr>
        <w:pStyle w:val="BodyTextIndent"/>
        <w:ind w:hanging="0" w:start="0" w:end="0"/>
        <w:rPr/>
      </w:pPr>
      <w:r>
        <w:rPr/>
      </w:r>
    </w:p>
    <w:p>
      <w:pPr>
        <w:pStyle w:val="BodyTextIndent"/>
        <w:ind w:hanging="0" w:end="0"/>
        <w:rPr/>
      </w:pPr>
      <w:r>
        <w:rPr/>
        <w:t xml:space="preserve">Proponents of price caps may argue that, because the cap does not apply to forward markets, buyers will be free to contract for peaking resources in the forward markets.  However, this argument does not reflect forward market conditions.  Forward markets tend to reflect the replacement cost of baseload and intermediate resources and therefore provide insufficient incentive to build peakers absent separate capacity contracts.  The existence of a price cap will perpetuate the buyer’s incentive to wait until real time markets and, if the buyer is lucky, they will procure peaking resources at a cost less than replacement costs.  If they are not so lucky they will be forced to involuntarily curtail customers.  </w:t>
      </w:r>
    </w:p>
    <w:p>
      <w:pPr>
        <w:pStyle w:val="BodyTextIndent"/>
        <w:ind w:hanging="0" w:start="0" w:end="0"/>
        <w:rPr/>
      </w:pPr>
      <w:r>
        <w:rPr/>
      </w:r>
    </w:p>
    <w:p>
      <w:pPr>
        <w:pStyle w:val="BodyTextIndent"/>
        <w:rPr>
          <w:b/>
        </w:rPr>
      </w:pPr>
      <w:r>
        <w:rPr>
          <w:b/>
        </w:rPr>
        <w:t xml:space="preserve">Q.  </w:t>
        <w:tab/>
        <w:t xml:space="preserve">How will suppliers that operate in the entire WSCC respond to price caps imposed only on the California market? </w:t>
      </w:r>
    </w:p>
    <w:p>
      <w:pPr>
        <w:pStyle w:val="Normal"/>
        <w:rPr>
          <w:b/>
          <w:sz w:val="24"/>
        </w:rPr>
      </w:pPr>
      <w:r>
        <w:rPr>
          <w:b/>
          <w:sz w:val="24"/>
        </w:rPr>
      </w:r>
    </w:p>
    <w:p>
      <w:pPr>
        <w:pStyle w:val="Normal"/>
        <w:ind w:hanging="720" w:start="720" w:end="0"/>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rPr>
        <w:footnoteReference w:id="21"/>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  </w:t>
      </w:r>
    </w:p>
    <w:p>
      <w:pPr>
        <w:pStyle w:val="Normal"/>
        <w:rPr>
          <w:sz w:val="24"/>
        </w:rPr>
      </w:pPr>
      <w:r>
        <w:rPr>
          <w:sz w:val="24"/>
        </w:rPr>
      </w:r>
    </w:p>
    <w:p>
      <w:pPr>
        <w:pStyle w:val="BodyTextIndent2"/>
        <w:rPr/>
      </w:pPr>
      <w:r>
        <w:rPr/>
        <w:t xml:space="preserve">The Commission’s price caps and reporting requirements are further flawed in that they do not apply to the high percentage of the WSCC power market that is not subject to the Commission’s jurisdiction including federal power marketing administrations and municipalities who can sell above the cap in out of market transactions.  </w:t>
      </w:r>
    </w:p>
    <w:p>
      <w:pPr>
        <w:pStyle w:val="BodyTextIndent"/>
        <w:ind w:hanging="0" w:start="0" w:end="0"/>
        <w:rPr/>
      </w:pPr>
      <w:r>
        <w:rPr/>
      </w:r>
    </w:p>
    <w:p>
      <w:pPr>
        <w:pStyle w:val="BodyText"/>
        <w:ind w:hanging="720" w:start="720" w:end="0"/>
        <w:rPr>
          <w:b/>
          <w:i w:val="false"/>
          <w:i w:val="false"/>
        </w:rPr>
      </w:pPr>
      <w:r>
        <w:rPr>
          <w:b/>
          <w:i w:val="false"/>
        </w:rPr>
        <w:t xml:space="preserve">Q.  </w:t>
        <w:tab/>
        <w:t>Do you agree, as the Commission asserts, that a $150/MWh soft cap is sufficiently high to allow most generators sufficient margin to earn a reasonable profit?</w:t>
      </w:r>
    </w:p>
    <w:p>
      <w:pPr>
        <w:pStyle w:val="Normal"/>
        <w:rPr>
          <w:b/>
          <w:i/>
          <w:i/>
          <w:sz w:val="24"/>
        </w:rPr>
      </w:pPr>
      <w:r>
        <w:rPr>
          <w:b/>
          <w:i/>
          <w:sz w:val="24"/>
        </w:rPr>
      </w:r>
    </w:p>
    <w:p>
      <w:pPr>
        <w:pStyle w:val="BodyText3"/>
        <w:ind w:hanging="720" w:start="720" w:end="0"/>
        <w:rPr/>
      </w:pPr>
      <w:r>
        <w:rPr/>
        <w:t>A.</w:t>
        <w:tab/>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2"/>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rPr/>
      </w:pPr>
      <w:r>
        <w:rPr/>
        <w:t xml:space="preserve"> </w:t>
      </w:r>
    </w:p>
    <w:p>
      <w:pPr>
        <w:pStyle w:val="Normal"/>
        <w:ind w:start="720" w:end="0"/>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3"/>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rPr/>
      </w:pPr>
      <w:r>
        <w:rPr/>
      </w:r>
    </w:p>
    <w:p>
      <w:pPr>
        <w:pStyle w:val="Normal"/>
        <w:ind w:hanging="720" w:start="720" w:end="0"/>
        <w:rPr>
          <w:b/>
          <w:sz w:val="24"/>
        </w:rPr>
      </w:pPr>
      <w:r>
        <w:rPr>
          <w:b/>
          <w:sz w:val="24"/>
        </w:rPr>
        <w:t xml:space="preserve">Q.  </w:t>
        <w:tab/>
        <w:t>More specifically, do you agree that the “$150 figure will accommodate these marginal running costs for a combined cycle generating unit and permit some contribution to fixed costs?”</w:t>
      </w:r>
      <w:r>
        <w:rPr>
          <w:rStyle w:val="FootnoteCharacters"/>
          <w:rStyle w:val="FootnoteReference"/>
          <w:b/>
          <w:sz w:val="24"/>
        </w:rPr>
        <w:footnoteReference w:id="24"/>
      </w:r>
    </w:p>
    <w:p>
      <w:pPr>
        <w:pStyle w:val="Normal"/>
        <w:rPr>
          <w:b/>
          <w:sz w:val="24"/>
        </w:rPr>
      </w:pPr>
      <w:r>
        <w:rPr>
          <w:b/>
          <w:sz w:val="24"/>
        </w:rPr>
      </w:r>
    </w:p>
    <w:p>
      <w:pPr>
        <w:pStyle w:val="Normal"/>
        <w:ind w:hanging="720" w:start="720" w:end="0"/>
        <w:rPr/>
      </w:pPr>
      <w:r>
        <w:rPr>
          <w:sz w:val="24"/>
        </w:rPr>
        <w:t xml:space="preserve">A.   </w:t>
        <w:tab/>
        <w:t>No.   In support of its selection of a $150/MWh as a reasonable level for a soft cap, the  Commission estimates adequate margin contribution receiving a price at the soft cap for a combined cycle unit running, assuming a capacity factor as high as 33% and with an investment horizon (payback period) as long as 30 years.  It is commendable that the Commission staff undertook the analysis to relate  the level of the cap to the current, all-in cost of generation resources; however, the staff’s choice of assumptions lead to an underestimate of the true cost of generation capacity and, therefore, over estimate margin contribution at a $150/MWh cap.</w:t>
      </w:r>
      <w:r>
        <w:rPr>
          <w:rStyle w:val="FootnoteCharacters"/>
          <w:rStyle w:val="FootnoteReference"/>
          <w:sz w:val="24"/>
        </w:rPr>
        <w:footnoteReference w:id="25"/>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resources operate at low capacity factors—below 15%.  Second, as noted above, the cost of peaking resources built near load center cost in the range of $900/kW installed, far higher than the costs the Commission has assumed.  Third, the Commission’s analysis appears to ignore fixed and variable operating and maintenance costs.  These costs can add approximately $20/MWh to the “all in” cost of running a peaking resource.   </w:t>
      </w:r>
    </w:p>
    <w:p>
      <w:pPr>
        <w:pStyle w:val="Normal"/>
        <w:rPr>
          <w:sz w:val="24"/>
        </w:rPr>
      </w:pPr>
      <w:r>
        <w:rPr>
          <w:sz w:val="24"/>
        </w:rPr>
      </w:r>
    </w:p>
    <w:p>
      <w:pPr>
        <w:pStyle w:val="BodyTextIndent2"/>
        <w:rPr/>
      </w:pPr>
      <w:r>
        <w:rPr/>
        <w:t>If the Commission’s assumptions are corrected, an “all in” cost of peaking resources would be considerably above $150/MWh (Table 2).</w:t>
      </w:r>
    </w:p>
    <w:p>
      <w:pPr>
        <w:pStyle w:val="Normal"/>
        <w:rPr>
          <w:sz w:val="24"/>
        </w:rPr>
      </w:pPr>
      <w:r>
        <w:rPr>
          <w:sz w:val="24"/>
        </w:rPr>
      </w:r>
    </w:p>
    <w:p>
      <w:pPr>
        <w:pStyle w:val="Normal"/>
        <w:rPr>
          <w:b/>
          <w:sz w:val="24"/>
        </w:rPr>
      </w:pPr>
      <w:r>
        <w:rPr>
          <w:b/>
          <w:sz w:val="24"/>
        </w:rPr>
        <w:t>[center table]</w:t>
      </w:r>
    </w:p>
    <w:p>
      <w:pPr>
        <w:pStyle w:val="Normal"/>
        <w:rPr/>
      </w:pPr>
      <w:r>
        <w:rPr/>
        <w:t>Table 2. Commission Staff’s Example of All-In Cost of Power Adjusted</w:t>
      </w:r>
    </w:p>
    <w:tbl>
      <w:tblPr>
        <w:tblW w:w="4530" w:type="dxa"/>
        <w:jc w:val="start"/>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4"/>
                <w:lang w:eastAsia="en-US"/>
              </w:rPr>
            </w:pPr>
            <w:r>
              <w:rPr>
                <w:color w:val="000000"/>
                <w:sz w:val="24"/>
                <w:lang w:eastAsia="en-US"/>
              </w:rPr>
              <w:t>Total Cost of Power ($/MWh)</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4"/>
                <w:lang w:eastAsia="en-US"/>
              </w:rPr>
            </w:pPr>
            <w:r>
              <w:rPr>
                <w:color w:val="000000"/>
                <w:sz w:val="24"/>
                <w:lang w:eastAsia="en-US"/>
              </w:rPr>
            </w:r>
          </w:p>
        </w:tc>
      </w:tr>
      <w:tr>
        <w:trPr>
          <w:trHeight w:val="562" w:hRule="atLeast"/>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lang w:eastAsia="en-US"/>
              </w:rPr>
            </w:pPr>
            <w:r>
              <w:rPr>
                <w:color w:val="000000"/>
                <w:sz w:val="24"/>
                <w:lang w:eastAsia="en-US"/>
              </w:rPr>
            </w:r>
          </w:p>
          <w:p>
            <w:pPr>
              <w:pStyle w:val="Normal"/>
              <w:rPr>
                <w:color w:val="000000"/>
                <w:lang w:eastAsia="en-US"/>
              </w:rPr>
            </w:pPr>
            <w:r>
              <w:rPr>
                <w:color w:val="000000"/>
                <w:lang w:eastAsia="en-US"/>
              </w:rPr>
              <w:t>Payback Period (years)</w:t>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Annual Capacity Factor</w:t>
            </w:r>
          </w:p>
        </w:tc>
      </w:tr>
      <w:tr>
        <w:trPr>
          <w:trHeight w:val="247" w:hRule="atLeast"/>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838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339 </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639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273 </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554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        </w:t>
            </w:r>
            <w:r>
              <w:rPr>
                <w:color w:val="000000"/>
                <w:lang w:eastAsia="en-US"/>
              </w:rPr>
              <w:t xml:space="preserve">245 </w:t>
            </w:r>
          </w:p>
        </w:tc>
      </w:tr>
    </w:tbl>
    <w:p>
      <w:pPr>
        <w:pStyle w:val="Normal"/>
        <w:rPr>
          <w:sz w:val="24"/>
        </w:rPr>
      </w:pPr>
      <w:r>
        <w:rPr>
          <w:sz w:val="24"/>
        </w:rPr>
        <w:t>Assumptions: Installed cost of $900/kW, Variable operating costs of $90/MWh ($50/MWh fuel, $40/MWh emission offsets), Fixed O&amp;M of $40/kW-yr.</w:t>
      </w:r>
    </w:p>
    <w:p>
      <w:pPr>
        <w:pStyle w:val="Normal"/>
        <w:rPr>
          <w:sz w:val="24"/>
        </w:rPr>
      </w:pPr>
      <w:r>
        <w:rPr>
          <w:sz w:val="24"/>
        </w:rPr>
      </w:r>
    </w:p>
    <w:p>
      <w:pPr>
        <w:pStyle w:val="BodyText"/>
        <w:rPr>
          <w:sz w:val="24"/>
        </w:rPr>
      </w:pPr>
      <w:r>
        <w:rPr>
          <w:sz w:val="24"/>
        </w:rPr>
      </w:r>
    </w:p>
    <w:p>
      <w:pPr>
        <w:pStyle w:val="Heading2"/>
        <w:ind w:hanging="720" w:start="720" w:end="0"/>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rPr>
          <w:b/>
          <w:i/>
          <w:i/>
          <w:sz w:val="24"/>
        </w:rPr>
      </w:pPr>
      <w:r>
        <w:rPr>
          <w:b/>
          <w:i/>
          <w:sz w:val="24"/>
        </w:rPr>
      </w:r>
    </w:p>
    <w:p>
      <w:pPr>
        <w:pStyle w:val="Normal"/>
        <w:ind w:hanging="720" w:start="720" w:end="0"/>
        <w:rPr>
          <w:sz w:val="24"/>
        </w:rPr>
      </w:pPr>
      <w:r>
        <w:rPr>
          <w:sz w:val="24"/>
        </w:rPr>
        <w:t>A.</w:t>
        <w:tab/>
        <w:t>No.  Price caps, if they must exist at all, should exist to mitigate against clearly unacceptable outcomes, they should not try to second guess the market or influence the market in non-peak periods, where scarcity is not a great concern.   Furthermore, any capping mechanism must be simple and firm, so that it has the correct effect on the market and does not cause cost-inducing uncertainty or other unintended consequences.</w:t>
      </w:r>
    </w:p>
    <w:p>
      <w:pPr>
        <w:pStyle w:val="Normal"/>
        <w:ind w:hanging="720" w:start="720" w:end="0"/>
        <w:rPr>
          <w:sz w:val="24"/>
        </w:rPr>
      </w:pPr>
      <w:r>
        <w:rPr>
          <w:sz w:val="24"/>
        </w:rPr>
      </w:r>
    </w:p>
    <w:p>
      <w:pPr>
        <w:pStyle w:val="Normal"/>
        <w:ind w:start="720" w:end="0"/>
        <w:rPr>
          <w:sz w:val="24"/>
        </w:rPr>
      </w:pPr>
      <w:r>
        <w:rPr>
          <w:sz w:val="24"/>
        </w:rPr>
        <w:t>The key flaw of load differentiated caps is that it ignores any supply side considerations.  The impact of maintenance outages, hydro conditions, forced outages, and capacity retirements is totally ignored by this cap.   A cap that ignores these conditions will have severe reliability consequences to California.</w:t>
      </w:r>
    </w:p>
    <w:p>
      <w:pPr>
        <w:pStyle w:val="Normal"/>
        <w:ind w:hanging="720" w:start="720" w:end="0"/>
        <w:rPr>
          <w:sz w:val="24"/>
        </w:rPr>
      </w:pPr>
      <w:r>
        <w:rPr>
          <w:sz w:val="24"/>
        </w:rPr>
      </w:r>
    </w:p>
    <w:p>
      <w:pPr>
        <w:pStyle w:val="Normal"/>
        <w:ind w:start="720" w:end="0"/>
        <w:rPr>
          <w:sz w:val="24"/>
        </w:rPr>
      </w:pPr>
      <w:r>
        <w:rPr>
          <w:sz w:val="24"/>
        </w:rPr>
        <w:t xml:space="preserve">Unfortunately, the ISO’s load differentiated cap, adopted on October 26, 2000, ignores supply-side considerations completely and is overly complicated.   Although the Commission’s Order renders null and void this cap, </w:t>
      </w:r>
      <w:r>
        <w:rPr>
          <w:rStyle w:val="FootnoteCharacters"/>
          <w:rStyle w:val="FootnoteReference"/>
          <w:sz w:val="24"/>
        </w:rPr>
        <w:footnoteReference w:id="26"/>
      </w:r>
      <w:r>
        <w:rPr>
          <w:sz w:val="24"/>
        </w:rPr>
        <w:t xml:space="preserve"> it is apparently still advocated by small consumer representatives and the Governor of California.</w:t>
      </w:r>
      <w:r>
        <w:rPr>
          <w:rStyle w:val="FootnoteCharacters"/>
          <w:rStyle w:val="FootnoteReference"/>
          <w:sz w:val="24"/>
        </w:rPr>
        <w:footnoteReference w:id="27"/>
      </w:r>
    </w:p>
    <w:p>
      <w:pPr>
        <w:pStyle w:val="Normal"/>
        <w:ind w:hanging="720" w:start="720" w:end="0"/>
        <w:rPr>
          <w:sz w:val="24"/>
        </w:rPr>
      </w:pPr>
      <w:r>
        <w:rPr>
          <w:sz w:val="24"/>
        </w:rPr>
      </w:r>
    </w:p>
    <w:p>
      <w:pPr>
        <w:pStyle w:val="Heading2"/>
        <w:ind w:hanging="720" w:start="720" w:end="0"/>
        <w:rPr>
          <w:b/>
          <w:i w:val="false"/>
          <w:i w:val="false"/>
        </w:rPr>
      </w:pPr>
      <w:r>
        <w:rPr>
          <w:b/>
          <w:i w:val="false"/>
        </w:rPr>
        <w:t>Q.</w:t>
        <w:tab/>
        <w:t>What are your specific concerns with  the ISO’s load-differentiated price cap?</w:t>
      </w:r>
    </w:p>
    <w:p>
      <w:pPr>
        <w:pStyle w:val="Normal"/>
        <w:ind w:hanging="720" w:start="720" w:end="0"/>
        <w:rPr>
          <w:b/>
          <w:i/>
          <w:i/>
          <w:sz w:val="24"/>
        </w:rPr>
      </w:pPr>
      <w:r>
        <w:rPr>
          <w:b/>
          <w:i/>
          <w:sz w:val="24"/>
        </w:rPr>
      </w:r>
    </w:p>
    <w:p>
      <w:pPr>
        <w:pStyle w:val="Normal"/>
        <w:ind w:hanging="720" w:start="720" w:end="0"/>
        <w:rPr>
          <w:sz w:val="24"/>
        </w:rPr>
      </w:pPr>
      <w:r>
        <w:rPr>
          <w:sz w:val="24"/>
        </w:rPr>
      </w:r>
    </w:p>
    <w:p>
      <w:pPr>
        <w:pStyle w:val="Normal"/>
        <w:ind w:hanging="720" w:start="720" w:end="0"/>
        <w:rPr>
          <w:sz w:val="24"/>
        </w:rPr>
      </w:pPr>
      <w:r>
        <w:rPr>
          <w:sz w:val="24"/>
        </w:rPr>
        <w:t>A.</w:t>
        <w:tab/>
        <w:t>First, although a cap may be designed to mitigate prices only in hours of extreme scarcity, the ISO’s proposed cap attempts to control the market in all hours by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ind w:start="720" w:end="0"/>
        <w:rPr/>
      </w:pPr>
      <w:r>
        <w:rPr>
          <w:sz w:val="24"/>
        </w:rPr>
        <w:t>Second, the reliability consequences of the load-based cap are very real. During the week of November 13,  the ISO declared multiple Stage 2 emergencies.  On November 13,  ISO loads peaked at 32,000 MW, the middle tier of the ISO’s load-differentiated cap proposal.  Beginning of the month gas prices, which would form the basis of the gas index in the cap proposal were $4.50/MMBtu</w:t>
      </w:r>
      <w:r>
        <w:rPr>
          <w:i/>
          <w:sz w:val="24"/>
        </w:rPr>
        <w:t xml:space="preserve">.  The cap for November 13, 2000 would have been $78/MWh. </w:t>
      </w:r>
      <w:r>
        <w:rPr>
          <w:sz w:val="24"/>
        </w:rPr>
        <w:t>In fact, the day-ahead, on peak PX price on November 13 was $185/MWh. The ISO’s ex post (real-time) average, on-peak price was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which 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Another problem with the load-differentiated cap proposal is that it is indexed to NYMEX Henry Hub near-month future prices and is, therefore, totally insensitive to basis differentials applicable to Western generators.  With this huge discrepancy between market and capped prices, California would have, at best, experienced multiple out-of-market (OOM) calls by the ISO or, at worst, blackouts.</w:t>
      </w:r>
    </w:p>
    <w:p>
      <w:pPr>
        <w:pStyle w:val="Normal"/>
        <w:rPr>
          <w:sz w:val="24"/>
        </w:rPr>
      </w:pPr>
      <w:r>
        <w:rPr>
          <w:sz w:val="24"/>
        </w:rPr>
      </w:r>
    </w:p>
    <w:p>
      <w:pPr>
        <w:pStyle w:val="BodyTextIndent2"/>
        <w:rPr/>
      </w:pPr>
      <w:r>
        <w:rPr/>
        <w:t>This example underscores that if a cap is deemed necessary by the Commission it must be high enough to incent capacity expansion and be out of the range of reasonable operating costs.  Otherwise frequent, year-long reliability emergencies will be faced in California.</w:t>
      </w:r>
    </w:p>
    <w:p>
      <w:pPr>
        <w:pStyle w:val="Normal"/>
        <w:rPr>
          <w:sz w:val="24"/>
        </w:rPr>
      </w:pPr>
      <w:r>
        <w:rPr>
          <w:sz w:val="24"/>
        </w:rPr>
      </w:r>
    </w:p>
    <w:p>
      <w:pPr>
        <w:pStyle w:val="Normal"/>
        <w:numPr>
          <w:ilvl w:val="0"/>
          <w:numId w:val="9"/>
        </w:numPr>
        <w:rPr>
          <w:b/>
          <w:sz w:val="24"/>
        </w:rPr>
      </w:pPr>
      <w:r>
        <w:rPr>
          <w:b/>
          <w:sz w:val="24"/>
        </w:rPr>
        <w:t>In advocating against price caps, are you not arguing that customers should be subjected to unconstrained market prices that have exhibited considerable variability in recent months?</w:t>
      </w:r>
    </w:p>
    <w:p>
      <w:pPr>
        <w:pStyle w:val="Normal"/>
        <w:rPr>
          <w:b/>
          <w:sz w:val="24"/>
        </w:rPr>
      </w:pPr>
      <w:r>
        <w:rPr>
          <w:b/>
          <w:sz w:val="24"/>
        </w:rPr>
      </w:r>
    </w:p>
    <w:p>
      <w:pPr>
        <w:pStyle w:val="Normal"/>
        <w:ind w:hanging="720" w:start="720" w:end="0"/>
        <w:rPr/>
      </w:pPr>
      <w:r>
        <w:rPr>
          <w:sz w:val="24"/>
        </w:rPr>
        <w:t xml:space="preserve">A. </w:t>
        <w:tab/>
        <w:t>The spot market for a perishable commodity like electricity will always be volatile.  However, consumers do not need price caps to be protected.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28"/>
      </w:r>
      <w:r>
        <w:rPr>
          <w:sz w:val="24"/>
        </w:rPr>
        <w:t xml:space="preserve"> </w:t>
      </w:r>
    </w:p>
    <w:p>
      <w:pPr>
        <w:pStyle w:val="Normal"/>
        <w:rPr>
          <w:sz w:val="24"/>
        </w:rPr>
      </w:pPr>
      <w:r>
        <w:rPr>
          <w:sz w:val="24"/>
        </w:rPr>
      </w:r>
    </w:p>
    <w:p>
      <w:pPr>
        <w:pStyle w:val="Normal"/>
        <w:ind w:start="720" w:end="0"/>
        <w:rPr/>
      </w:pPr>
      <w:r>
        <w:rPr>
          <w:sz w:val="24"/>
        </w:rPr>
        <w:t>The problem with inadequate forward contracting by the California UDC’s was not a lack of available markets for, or sellers of, forward contracts.  Forward markets in the West are robust and liquid.  In markets that Enron participates in monthly volumes in the WSCC for term</w:t>
      </w:r>
      <w:r>
        <w:rPr>
          <w:rStyle w:val="FootnoteCharacters"/>
          <w:rStyle w:val="FootnoteReference"/>
          <w:sz w:val="24"/>
        </w:rPr>
        <w:footnoteReference w:id="29"/>
      </w:r>
      <w:r>
        <w:rPr>
          <w:sz w:val="24"/>
        </w:rPr>
        <w:t xml:space="preserve"> deals (both physical and financial) exceed </w:t>
      </w:r>
      <w:r>
        <w:rPr>
          <w:i/>
          <w:sz w:val="24"/>
        </w:rPr>
        <w:t>40 million MWh</w:t>
      </w:r>
      <w:r>
        <w:rPr>
          <w:sz w:val="24"/>
        </w:rPr>
        <w:t xml:space="preserve"> in most months.  This is a liquid market.  Term deals are especially strong outside of California where regulatory prohibitions and risks associated with forward contracting do not exist.</w:t>
      </w:r>
    </w:p>
    <w:p>
      <w:pPr>
        <w:pStyle w:val="Normal"/>
        <w:ind w:start="360" w:end="0"/>
        <w:rPr>
          <w:sz w:val="24"/>
        </w:rPr>
      </w:pPr>
      <w:r>
        <w:rPr>
          <w:sz w:val="24"/>
        </w:rPr>
      </w:r>
    </w:p>
    <w:p>
      <w:pPr>
        <w:pStyle w:val="Normal"/>
        <w:ind w:start="720" w:end="0"/>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0"/>
      </w:r>
    </w:p>
    <w:p>
      <w:pPr>
        <w:pStyle w:val="Normal"/>
        <w:ind w:start="720" w:end="0"/>
        <w:rPr>
          <w:sz w:val="24"/>
        </w:rPr>
      </w:pPr>
      <w:r>
        <w:rPr>
          <w:sz w:val="24"/>
        </w:rPr>
      </w:r>
    </w:p>
    <w:p>
      <w:pPr>
        <w:pStyle w:val="Normal"/>
        <w:ind w:start="720" w:end="0"/>
        <w:rPr>
          <w:sz w:val="24"/>
        </w:rPr>
      </w:pPr>
      <w:r>
        <w:rPr>
          <w:sz w:val="24"/>
        </w:rPr>
        <w:t>A significant obstacle for forward contracting is the reasonableness review standards that the CPUC imposes on its investor-owned utilities.   The CPUC must put in place forward-looking procedures and standards that allow its jurisdictional utilities to forward contract and pass through the costs of contracts reasonably procured.  The Commission’s penalty on load for underscheduling will not solve this problems as all that penalty will do is make UDCs move load from real-time into the day-of or day-ahead markets.</w:t>
      </w:r>
    </w:p>
    <w:p>
      <w:pPr>
        <w:pStyle w:val="Normal"/>
        <w:ind w:start="360" w:end="0"/>
        <w:rPr>
          <w:sz w:val="24"/>
        </w:rPr>
      </w:pPr>
      <w:r>
        <w:rPr>
          <w:sz w:val="24"/>
        </w:rPr>
      </w:r>
    </w:p>
    <w:p>
      <w:pPr>
        <w:pStyle w:val="Normal"/>
        <w:ind w:start="360" w:end="0"/>
        <w:rPr>
          <w:i/>
          <w:i/>
          <w:sz w:val="24"/>
        </w:rPr>
      </w:pPr>
      <w:r>
        <w:rPr>
          <w:i/>
          <w:sz w:val="24"/>
        </w:rPr>
      </w:r>
    </w:p>
    <w:p>
      <w:pPr>
        <w:pStyle w:val="Normal"/>
        <w:numPr>
          <w:ilvl w:val="0"/>
          <w:numId w:val="4"/>
        </w:numPr>
        <w:rPr>
          <w:b/>
          <w:sz w:val="24"/>
        </w:rPr>
      </w:pPr>
      <w:r>
        <w:rPr>
          <w:b/>
          <w:sz w:val="24"/>
        </w:rPr>
        <w:t>To conclude, what position do you recommend the Commission take with respect to price caps?</w:t>
      </w:r>
    </w:p>
    <w:p>
      <w:pPr>
        <w:pStyle w:val="Normal"/>
        <w:rPr>
          <w:b/>
          <w:sz w:val="24"/>
        </w:rPr>
      </w:pPr>
      <w:r>
        <w:rPr>
          <w:b/>
          <w:sz w:val="24"/>
        </w:rPr>
      </w:r>
    </w:p>
    <w:p>
      <w:pPr>
        <w:pStyle w:val="BodyTextIndent"/>
        <w:rPr/>
      </w:pPr>
      <w:r>
        <w:rPr/>
        <w:t xml:space="preserve">A. </w:t>
        <w:tab/>
        <w:t xml:space="preserve">California and WSCC electric power remain contestable, competitive markets.  Nothing that has occurred over the last seven months would sway a rationale analyst from that conclusion.  Attempts to manipulate market price outcomes in the face of real supply and demand pressures over any length of time are destined for failure, and the analysis above on current operating costs and expected market responses foreshadow such failures. If price caps are adopted, suppliers n the short term will be encouraged to submit offers in other markets, especially due to the proposed ambiguous reporting requirements and the threat of refunds.  In the longer term, the prospect of continued regulatory intervention will undermine investment.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Normal"/>
        <w:ind w:start="720" w:end="0"/>
        <w:rPr>
          <w:sz w:val="24"/>
        </w:rPr>
      </w:pPr>
      <w:r>
        <w:rPr>
          <w:sz w:val="24"/>
        </w:rPr>
        <w:t>Enron recognizes that there are significant pressures for limiting prices in the California market and that it may find it necessary to intervene so as to maintain confidence in the market.  Any such  measures must be strictly time limited to assist the transition process to further structural reform. Price caps must also be set at realistic levels, so that the functioning of the California energy markets is not undermined further. Even in the short term, a soft cap set at a level of $150/MWh will result in significant disruption and the ‘flight’ of resources to other markets. At a minimum, price caps should be set at a level of $250/MWh and subject to review at the latest in the summer of 2001.  The level of $250/MWh is the absolute lowest cap the Commission consider in light of current fuel and offset costs and the capital costs required to build peaking resources, as shown in Table 1 and Figure 1.</w:t>
      </w:r>
    </w:p>
    <w:p>
      <w:pPr>
        <w:pStyle w:val="Normal"/>
        <w:rPr>
          <w:sz w:val="24"/>
        </w:rPr>
      </w:pPr>
      <w:r>
        <w:rPr>
          <w:sz w:val="24"/>
        </w:rPr>
      </w:r>
    </w:p>
    <w:p>
      <w:pPr>
        <w:pStyle w:val="Normal"/>
        <w:rPr>
          <w:sz w:val="24"/>
        </w:rPr>
      </w:pPr>
      <w:r>
        <w:rPr>
          <w:sz w:val="24"/>
        </w:rPr>
      </w:r>
    </w:p>
    <w:p>
      <w:pPr>
        <w:pStyle w:val="BodyText2"/>
        <w:rPr/>
      </w:pPr>
      <w:r>
        <w:rPr>
          <w:rPrChange w:id="0" w:author="Unknown" w:date="0-00-00T00:00:00Z"/>
        </w:rPr>
        <w:t xml:space="preserve">IV.  </w:t>
        <w:tab/>
        <w:t>REQUIREMENTS TO DOCUMENT OPPORTUNITY COST AND REFUND RISK IMPOSE REAL RISK ON GENERATORS THAT WILL IMPACT THE RELIABILITY AND COST OF POWER TO CALIFORNIA</w:t>
      </w:r>
    </w:p>
    <w:p>
      <w:pPr>
        <w:pStyle w:val="Normal"/>
        <w:rPr>
          <w:sz w:val="24"/>
        </w:rPr>
      </w:pPr>
      <w:r>
        <w:rPr>
          <w:b/>
          <w:sz w:val="24"/>
        </w:rPr>
        <w:t xml:space="preserve"> </w:t>
      </w:r>
    </w:p>
    <w:p>
      <w:pPr>
        <w:pStyle w:val="Normal"/>
        <w:numPr>
          <w:ilvl w:val="0"/>
          <w:numId w:val="12"/>
        </w:numPr>
        <w:rPr>
          <w:sz w:val="24"/>
        </w:rPr>
      </w:pPr>
      <w:r>
        <w:rPr>
          <w:b/>
          <w:sz w:val="24"/>
        </w:rPr>
        <w:t xml:space="preserve">What are the economic consequences of an extended refund-effective period? </w:t>
      </w:r>
    </w:p>
    <w:p>
      <w:pPr>
        <w:pStyle w:val="Normal"/>
        <w:rPr>
          <w:sz w:val="24"/>
        </w:rPr>
      </w:pPr>
      <w:r>
        <w:rPr>
          <w:sz w:val="24"/>
        </w:rPr>
      </w:r>
    </w:p>
    <w:p>
      <w:pPr>
        <w:pStyle w:val="Normal"/>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risk is simply untenable.  The Commission should at the very least identify a safe harbor.  In addition, as laid out in the comments that accompany this affidavit, refunds would be inequitable and damage the market for capacity in California.</w:t>
      </w:r>
    </w:p>
    <w:p>
      <w:pPr>
        <w:pStyle w:val="Normal"/>
        <w:rPr>
          <w:sz w:val="24"/>
        </w:rPr>
      </w:pPr>
      <w:r>
        <w:rPr>
          <w:sz w:val="24"/>
        </w:rPr>
      </w:r>
    </w:p>
    <w:p>
      <w:pPr>
        <w:pStyle w:val="BodyText2"/>
        <w:rPr/>
      </w:pPr>
      <w:r>
        <w:rPr>
          <w:rPrChange w:id="0" w:author="Unknown" w:date="0-00-00T00:00:00Z"/>
        </w:rPr>
        <w:t>Q.</w:t>
        <w:tab/>
        <w:t>What are the cost and reliability consequences of the soft cap and reporting requirements?</w:t>
      </w:r>
    </w:p>
    <w:p>
      <w:pPr>
        <w:pStyle w:val="Normal"/>
        <w:rPr>
          <w:sz w:val="24"/>
        </w:rPr>
      </w:pPr>
      <w:r>
        <w:rPr>
          <w:sz w:val="24"/>
        </w:rPr>
      </w:r>
    </w:p>
    <w:p>
      <w:pPr>
        <w:pStyle w:val="Normal"/>
        <w:rPr/>
      </w:pPr>
      <w:r>
        <w:rPr>
          <w:sz w:val="24"/>
        </w:rPr>
        <w:t>A.</w:t>
        <w:tab/>
        <w:t>The Order requires that all transactions above $150/MWh  be documented in terms of incremental generation cost.  The Order allows such costs to include “legitimate opportunity costs that are known and verifiable that the seller considered in developing its bid, i.e., prior to the transaction.”</w:t>
      </w:r>
      <w:r>
        <w:rPr>
          <w:rStyle w:val="FootnoteCharacters"/>
          <w:rStyle w:val="FootnoteReference"/>
          <w:sz w:val="24"/>
          <w:lang w:val="en-CA"/>
        </w:rPr>
        <w:footnoteReference w:id="31"/>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holding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ind w:start="0" w:end="0"/>
        <w:rPr/>
      </w:pPr>
      <w:r>
        <w:rPr/>
        <w:t>Obviously the current cost of delivered fuel, taxes, operation and maintenance, emission offsets or permits, transmission losses, and transmission usage charges, should be included in incremental generation costs. These costs can 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0"/>
        </w:numPr>
        <w:rPr>
          <w:sz w:val="24"/>
        </w:rPr>
      </w:pP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start up costs in the expected awarded hours.</w:t>
      </w:r>
    </w:p>
    <w:p>
      <w:pPr>
        <w:pStyle w:val="Normal"/>
        <w:rPr>
          <w:sz w:val="24"/>
        </w:rPr>
      </w:pPr>
      <w:r>
        <w:rPr>
          <w:sz w:val="24"/>
        </w:rPr>
      </w:r>
    </w:p>
    <w:p>
      <w:pPr>
        <w:pStyle w:val="Normal"/>
        <w:numPr>
          <w:ilvl w:val="0"/>
          <w:numId w:val="10"/>
        </w:numPr>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rPr>
          <w:sz w:val="24"/>
        </w:rPr>
      </w:pPr>
      <w:r>
        <w:rPr>
          <w:sz w:val="24"/>
        </w:rPr>
      </w:r>
    </w:p>
    <w:p>
      <w:pPr>
        <w:pStyle w:val="Normal"/>
        <w:numPr>
          <w:ilvl w:val="0"/>
          <w:numId w:val="10"/>
        </w:numPr>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Suppliers include these costs in their decision to participate in the California market.</w:t>
      </w:r>
    </w:p>
    <w:p>
      <w:pPr>
        <w:pStyle w:val="Normal"/>
        <w:rPr>
          <w:sz w:val="24"/>
        </w:rPr>
      </w:pPr>
      <w:r>
        <w:rPr>
          <w:sz w:val="24"/>
        </w:rPr>
      </w:r>
    </w:p>
    <w:p>
      <w:pPr>
        <w:pStyle w:val="Normal"/>
        <w:numPr>
          <w:ilvl w:val="0"/>
          <w:numId w:val="10"/>
        </w:numPr>
        <w:rPr>
          <w:sz w:val="24"/>
        </w:rPr>
      </w:pPr>
      <w:r>
        <w:rPr>
          <w:b/>
          <w:sz w:val="24"/>
        </w:rPr>
        <w:t>Profit.</w:t>
      </w:r>
      <w:r>
        <w:rPr>
          <w:sz w:val="24"/>
        </w:rPr>
        <w:t xml:space="preserve">  If a supplier will be paid-as-bid, rather than receive a market-clearing price, it must be allowed to include a reasonable contribution to fixed costs as part of its bid.</w:t>
      </w:r>
    </w:p>
    <w:p>
      <w:pPr>
        <w:pStyle w:val="Normal"/>
        <w:rPr>
          <w:sz w:val="24"/>
        </w:rPr>
      </w:pPr>
      <w:r>
        <w:rPr>
          <w:sz w:val="24"/>
        </w:rPr>
      </w:r>
    </w:p>
    <w:p>
      <w:pPr>
        <w:pStyle w:val="Normal"/>
        <w:rPr>
          <w:sz w:val="24"/>
        </w:rPr>
      </w:pPr>
      <w:r>
        <w:rPr>
          <w:sz w:val="24"/>
        </w:rPr>
      </w:r>
    </w:p>
    <w:p>
      <w:pPr>
        <w:pStyle w:val="Heading2"/>
        <w:ind w:hanging="0" w:start="0"/>
        <w:rPr>
          <w:b/>
          <w:i w:val="false"/>
          <w:i w:val="false"/>
        </w:rPr>
      </w:pPr>
      <w:r>
        <w:rPr>
          <w:b/>
          <w:i w:val="false"/>
        </w:rPr>
        <w:t>Q.</w:t>
        <w:tab/>
        <w:t>What are the problems associated with documenting opportunity costs?</w:t>
      </w:r>
    </w:p>
    <w:p>
      <w:pPr>
        <w:pStyle w:val="Normal"/>
        <w:rPr>
          <w:b/>
          <w:i/>
          <w:i/>
          <w:sz w:val="24"/>
        </w:rPr>
      </w:pPr>
      <w:r>
        <w:rPr>
          <w:b/>
          <w:i/>
          <w:sz w:val="24"/>
        </w:rPr>
      </w:r>
    </w:p>
    <w:p>
      <w:pPr>
        <w:pStyle w:val="BodyTextIndent"/>
        <w:rPr/>
      </w:pPr>
      <w:r>
        <w:rPr/>
        <w:t>A.</w:t>
        <w:tab/>
        <w:t>Opportunity cost is “the next highest value of the resource.”</w:t>
      </w:r>
      <w:r>
        <w:rPr>
          <w:rStyle w:val="FootnoteCharacters"/>
          <w:rStyle w:val="FootnoteReference"/>
        </w:rPr>
        <w:footnoteReference w:id="32"/>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rPr>
          <w:sz w:val="24"/>
        </w:rPr>
      </w:pPr>
      <w:r>
        <w:rPr>
          <w:sz w:val="24"/>
        </w:rPr>
      </w:r>
    </w:p>
    <w:p>
      <w:pPr>
        <w:pStyle w:val="Heading1"/>
        <w:ind w:hanging="720" w:start="720" w:end="0"/>
        <w:rPr/>
      </w:pPr>
      <w:r>
        <w:rPr/>
        <w:t>Q.</w:t>
        <w:tab/>
        <w:t>Should opportunity cost be part of incremental generation costs and if so are there problems uniquely related thereto?</w:t>
      </w:r>
    </w:p>
    <w:p>
      <w:pPr>
        <w:pStyle w:val="Normal"/>
        <w:rPr>
          <w:sz w:val="24"/>
        </w:rPr>
      </w:pPr>
      <w:r>
        <w:rPr>
          <w:sz w:val="24"/>
        </w:rPr>
      </w:r>
    </w:p>
    <w:p>
      <w:pPr>
        <w:pStyle w:val="Normal"/>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i.e.,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rPr>
          <w:sz w:val="24"/>
        </w:rPr>
      </w:pPr>
      <w:r>
        <w:rPr>
          <w:sz w:val="24"/>
        </w:rPr>
      </w:r>
    </w:p>
    <w:p>
      <w:pPr>
        <w:pStyle w:val="Normal"/>
        <w:rPr>
          <w:sz w:val="24"/>
        </w:rPr>
      </w:pPr>
      <w:r>
        <w:rPr>
          <w:sz w:val="24"/>
        </w:rPr>
        <w:t xml:space="preserve">Alternative markets can vary in terms of geography, degree of forwardness and, in the case of energy-limited resources, the choice of which time period in which to sell: </w:t>
      </w:r>
    </w:p>
    <w:p>
      <w:pPr>
        <w:pStyle w:val="Normal"/>
        <w:rPr>
          <w:sz w:val="24"/>
        </w:rPr>
      </w:pPr>
      <w:r>
        <w:rPr>
          <w:sz w:val="24"/>
        </w:rPr>
      </w:r>
    </w:p>
    <w:p>
      <w:pPr>
        <w:pStyle w:val="Normal"/>
        <w:numPr>
          <w:ilvl w:val="0"/>
          <w:numId w:val="7"/>
        </w:numPr>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out-of-state markets to be attractive at times, even after factoring in the cost of transmission.  Regional price caps will not resolve the problem as suppliers can still sell into Canadian markets without a price caps.</w:t>
      </w:r>
    </w:p>
    <w:p>
      <w:pPr>
        <w:pStyle w:val="Normal"/>
        <w:rPr>
          <w:sz w:val="24"/>
        </w:rPr>
      </w:pPr>
      <w:r>
        <w:rPr>
          <w:sz w:val="24"/>
        </w:rPr>
      </w:r>
    </w:p>
    <w:p>
      <w:pPr>
        <w:pStyle w:val="Normal"/>
        <w:numPr>
          <w:ilvl w:val="0"/>
          <w:numId w:val="7"/>
        </w:numPr>
        <w:rPr>
          <w:sz w:val="24"/>
        </w:rPr>
      </w:pPr>
      <w:r>
        <w:rPr>
          <w:b/>
          <w:sz w:val="24"/>
        </w:rPr>
        <w:t>Spot versus Forward.</w:t>
      </w:r>
      <w:r>
        <w:rPr>
          <w:sz w:val="24"/>
        </w:rPr>
        <w:t xml:space="preserve">  A supplier must choose which market to sell to: forward markets, day-ahead, day-of, or real time.  Documentation of costs and refund risk apply only to spot (nonforward) markets.  However there will be times when a generator will have a market opportunity in a forward market and that opportunity, adjusted for risk and carrying costs, is the opportunity cost for the generator in a spot market.</w:t>
      </w:r>
    </w:p>
    <w:p>
      <w:pPr>
        <w:pStyle w:val="Normal"/>
        <w:rPr>
          <w:sz w:val="24"/>
        </w:rPr>
      </w:pPr>
      <w:r>
        <w:rPr>
          <w:sz w:val="24"/>
        </w:rPr>
      </w:r>
    </w:p>
    <w:p>
      <w:pPr>
        <w:pStyle w:val="Normal"/>
        <w:numPr>
          <w:ilvl w:val="0"/>
          <w:numId w:val="7"/>
        </w:numPr>
        <w:rPr>
          <w:sz w:val="24"/>
        </w:rPr>
      </w:pPr>
      <w:r>
        <w:rPr>
          <w:b/>
          <w:sz w:val="24"/>
        </w:rPr>
        <w:t>Choice of market available to an energy-limited resource.</w:t>
      </w:r>
      <w:r>
        <w:rPr>
          <w:sz w:val="24"/>
        </w:rPr>
        <w:t xml:space="preserve">  Hydroelectric resources and other energy-limited resources,</w:t>
      </w:r>
      <w:r>
        <w:rPr>
          <w:rStyle w:val="FootnoteCharacters"/>
          <w:rStyle w:val="FootnoteReference"/>
          <w:sz w:val="24"/>
        </w:rPr>
        <w:footnoteReference w:id="33"/>
      </w:r>
      <w:r>
        <w:rPr>
          <w:sz w:val="24"/>
        </w:rPr>
        <w:t xml:space="preserve"> must trade off between entering a market in one hour or waiting for another hour’s market.  The opportunity cost of a hydroelectric generator is not only its potential revenues of selling to another geographic area but the potential revenues from waiting for another day when the resource is more valuable.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rPr>
          <w:sz w:val="24"/>
        </w:rPr>
      </w:pPr>
      <w:r>
        <w:rPr>
          <w:sz w:val="24"/>
        </w:rPr>
      </w:r>
    </w:p>
    <w:p>
      <w:pPr>
        <w:pStyle w:val="Normal"/>
        <w:ind w:hanging="720" w:start="720" w:end="0"/>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rPr>
          <w:b/>
          <w:sz w:val="24"/>
        </w:rPr>
      </w:pPr>
      <w:r>
        <w:rPr>
          <w:b/>
          <w:sz w:val="24"/>
        </w:rPr>
      </w:r>
    </w:p>
    <w:p>
      <w:pPr>
        <w:pStyle w:val="BodyTextIndent"/>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rPr>
          <w:sz w:val="24"/>
        </w:rPr>
      </w:pPr>
      <w:r>
        <w:rPr>
          <w:sz w:val="24"/>
        </w:rPr>
      </w:r>
    </w:p>
    <w:p>
      <w:pPr>
        <w:pStyle w:val="Heading1"/>
        <w:numPr>
          <w:ilvl w:val="0"/>
          <w:numId w:val="13"/>
        </w:numPr>
        <w:rPr>
          <w:b w:val="false"/>
        </w:rPr>
      </w:pPr>
      <w:r>
        <w:rPr/>
        <w:t xml:space="preserve">Northwest Hydro Generator </w:t>
      </w:r>
      <w:r>
        <w:rPr>
          <w:b w:val="false"/>
        </w:rPr>
        <w:t>A northwest hydro generator purchased a block of Mid-Columbia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To sell to California, the generator seller would incur costs of $10-$15/MWh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probabilistic nature of its costs and the lack of clarity with regards to the Commission’s definition of opportunity costs, this generator was reluctant to subject itself to the reporting requirements required of an above-$150/MWh bid into California.  Instead, the generator chose to sell at a lower price in the Northwest, avoid reporting and scrutiny, and eliminate refund risk.</w:t>
      </w:r>
    </w:p>
    <w:p>
      <w:pPr>
        <w:pStyle w:val="Normal"/>
        <w:rPr>
          <w:b/>
          <w:sz w:val="24"/>
        </w:rPr>
      </w:pPr>
      <w:r>
        <w:rPr>
          <w:b/>
          <w:sz w:val="24"/>
        </w:rPr>
      </w:r>
    </w:p>
    <w:p>
      <w:pPr>
        <w:pStyle w:val="Heading1"/>
        <w:numPr>
          <w:ilvl w:val="0"/>
          <w:numId w:val="13"/>
        </w:numPr>
        <w:rPr>
          <w:b w:val="false"/>
        </w:rPr>
      </w:pPr>
      <w:r>
        <w:rPr/>
        <w:t xml:space="preserve">In-State California Cycling Generator.  </w:t>
      </w:r>
      <w:r>
        <w:rPr>
          <w:b w:val="false"/>
        </w:rPr>
        <w:t xml:space="preserve">EPMI acts as an SC for an cogenerator located in the SP-15 zone of the ISO control area.  Its effective heat rate, including start-up fuel, is 12,650 Btu/kWh (inclusive of start-up fuel).  The following are the actual expected costs for a 10-hour run in on November 15, 2000: </w:t>
      </w:r>
    </w:p>
    <w:p>
      <w:pPr>
        <w:pStyle w:val="Normal"/>
        <w:rPr>
          <w:b/>
          <w:sz w:val="24"/>
        </w:rPr>
      </w:pPr>
      <w:r>
        <w:rPr>
          <w:b/>
          <w:sz w:val="24"/>
        </w:rPr>
      </w:r>
    </w:p>
    <w:p>
      <w:pPr>
        <w:pStyle w:val="Normal"/>
        <w:rPr/>
      </w:pPr>
      <w:r>
        <w:rPr>
          <w:sz w:val="24"/>
        </w:rPr>
        <w:tab/>
      </w:r>
      <w:r>
        <w:rPr>
          <w:sz w:val="24"/>
          <w:u w:val="single"/>
        </w:rPr>
        <w:t>Variable Cost Summary</w:t>
      </w:r>
    </w:p>
    <w:p>
      <w:pPr>
        <w:pStyle w:val="Normal"/>
        <w:rPr>
          <w:sz w:val="24"/>
        </w:rPr>
      </w:pPr>
      <w:r>
        <w:rPr>
          <w:sz w:val="24"/>
        </w:rPr>
        <w:tab/>
        <w:t>Fuel ($8.73/MMBtu delivered x 12,650 Btu/kWh heat rate)</w:t>
        <w:tab/>
        <w:tab/>
        <w:t>$110/MWh</w:t>
      </w:r>
    </w:p>
    <w:p>
      <w:pPr>
        <w:pStyle w:val="Normal"/>
        <w:rPr>
          <w:sz w:val="24"/>
        </w:rPr>
      </w:pPr>
      <w:r>
        <w:rPr>
          <w:sz w:val="24"/>
        </w:rPr>
        <w:tab/>
        <w:t>Variable operations and maintenance</w:t>
        <w:tab/>
        <w:tab/>
        <w:tab/>
        <w:tab/>
        <w:t>$    2/MWh</w:t>
      </w:r>
    </w:p>
    <w:p>
      <w:pPr>
        <w:pStyle w:val="Normal"/>
        <w:rPr>
          <w:sz w:val="24"/>
        </w:rPr>
      </w:pPr>
      <w:r>
        <w:rPr>
          <w:sz w:val="24"/>
        </w:rPr>
        <w:tab/>
        <w:t>NOx opportunity cost @ $45.00/lb</w:t>
        <w:tab/>
        <w:tab/>
        <w:tab/>
        <w:tab/>
        <w:tab/>
        <w:t>$  20/MWh</w:t>
      </w:r>
    </w:p>
    <w:p>
      <w:pPr>
        <w:pStyle w:val="Normal"/>
        <w:ind w:firstLine="720" w:end="0"/>
        <w:rPr>
          <w:sz w:val="24"/>
          <w:u w:val="single"/>
        </w:rPr>
      </w:pPr>
      <w:r>
        <w:rPr>
          <w:sz w:val="24"/>
          <w:u w:val="single"/>
        </w:rPr>
        <w:t>Generator meter multiplier (1.15% losses times above costs)</w:t>
        <w:tab/>
        <w:t>$    2/MWh</w:t>
      </w:r>
    </w:p>
    <w:p>
      <w:pPr>
        <w:pStyle w:val="Normal"/>
        <w:rPr>
          <w:sz w:val="24"/>
        </w:rPr>
      </w:pPr>
      <w:r>
        <w:rPr>
          <w:sz w:val="24"/>
        </w:rPr>
        <w:tab/>
        <w:t xml:space="preserve">Subtotal </w:t>
        <w:tab/>
        <w:tab/>
        <w:tab/>
        <w:tab/>
        <w:tab/>
        <w:tab/>
        <w:tab/>
        <w:t xml:space="preserve"> </w:t>
        <w:tab/>
        <w:t>$134/MWh</w:t>
      </w:r>
    </w:p>
    <w:p>
      <w:pPr>
        <w:pStyle w:val="Normal"/>
        <w:rPr>
          <w:sz w:val="24"/>
        </w:rPr>
      </w:pPr>
      <w:r>
        <w:rPr>
          <w:sz w:val="24"/>
        </w:rPr>
      </w:r>
    </w:p>
    <w:p>
      <w:pPr>
        <w:pStyle w:val="Normal"/>
        <w:rPr>
          <w:sz w:val="24"/>
        </w:rPr>
      </w:pPr>
      <w:r>
        <w:rPr>
          <w:sz w:val="24"/>
        </w:rPr>
        <w:tab/>
        <w:t>Desired minimum operating margin (15% of variable costs)</w:t>
        <w:tab/>
        <w:tab/>
        <w:t>$  20/MWh</w:t>
      </w:r>
    </w:p>
    <w:p>
      <w:pPr>
        <w:pStyle w:val="Normal"/>
        <w:rPr/>
      </w:pPr>
      <w:r>
        <w:rPr>
          <w:sz w:val="24"/>
        </w:rPr>
        <w:tab/>
      </w:r>
      <w:r>
        <w:rPr>
          <w:sz w:val="24"/>
          <w:u w:val="single"/>
        </w:rPr>
        <w:t>Operating cost risk margin (see discussion below)</w:t>
        <w:tab/>
        <w:tab/>
        <w:tab/>
        <w:t>$  15/MWh</w:t>
      </w:r>
    </w:p>
    <w:p>
      <w:pPr>
        <w:pStyle w:val="Normal"/>
        <w:rPr>
          <w:sz w:val="24"/>
        </w:rPr>
      </w:pPr>
      <w:r>
        <w:rPr>
          <w:sz w:val="24"/>
        </w:rPr>
        <w:tab/>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rPr/>
      </w:pPr>
      <w:r>
        <w:rPr/>
        <w:t xml:space="preserve">The “operating risk margin” is an estimate of the cost of being awarded a noncontiguous schedule or  experiencing a forced outage.   These are very real risks.  For example, the cogenerator could bid in a block of sales at its minimum bid for hours ending 7-22 and get awarded all hours except for 12, 13, 16 and 22--a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$250/MWh on peak.  Had it been awarded its bid price of $169/MWh, it would have lost money on that day, on the order of $5,000/hour.  For this reason, the cogenerator must factor these expected costs into its bid price. </w:t>
      </w:r>
    </w:p>
    <w:p>
      <w:pPr>
        <w:pStyle w:val="Normal"/>
        <w:rPr>
          <w:sz w:val="24"/>
        </w:rPr>
      </w:pPr>
      <w:r>
        <w:rPr>
          <w:sz w:val="24"/>
        </w:rPr>
      </w:r>
    </w:p>
    <w:p>
      <w:pPr>
        <w:pStyle w:val="BodyText"/>
        <w:ind w:hanging="720" w:start="720" w:end="0"/>
        <w:rPr>
          <w:b/>
          <w:i w:val="false"/>
          <w:i w:val="false"/>
        </w:rPr>
      </w:pPr>
      <w:r>
        <w:rPr>
          <w:b/>
          <w:i w:val="false"/>
        </w:rPr>
        <w:t>Q.</w:t>
        <w:tab/>
        <w:t>Should reasonable limits be imposed on the period transactions remain open to contest during the refund effective period?</w:t>
      </w:r>
    </w:p>
    <w:p>
      <w:pPr>
        <w:pStyle w:val="Normal"/>
        <w:rPr>
          <w:b/>
          <w:i/>
          <w:i/>
          <w:sz w:val="24"/>
        </w:rPr>
      </w:pPr>
      <w:r>
        <w:rPr>
          <w:b/>
          <w:i/>
          <w:sz w:val="24"/>
        </w:rPr>
      </w:r>
    </w:p>
    <w:p>
      <w:pPr>
        <w:pStyle w:val="Normal"/>
        <w:rPr>
          <w:b/>
          <w:sz w:val="24"/>
        </w:rPr>
      </w:pPr>
      <w:r>
        <w:rPr>
          <w:b/>
          <w:sz w:val="24"/>
        </w:rPr>
      </w:r>
    </w:p>
    <w:p>
      <w:pPr>
        <w:pStyle w:val="Normal"/>
        <w:numPr>
          <w:ilvl w:val="0"/>
          <w:numId w:val="8"/>
        </w:numPr>
        <w:rPr>
          <w:b/>
          <w:sz w:val="24"/>
        </w:rPr>
      </w:pPr>
      <w:r>
        <w:rPr>
          <w:sz w:val="24"/>
        </w:rPr>
        <w:t>To the extent the Commission goes down the path of requiring marketers with market-based authority to report cost and be subject to refund, yes. Enron strongly supports a “hold open” window that does not exceed 30 days.  After the window is closed, any accepted bid not flagged by the Commission Staff would be deemed final and not subject to refund.  This “statute of limitations” is critical for reducing liability costs and facilitating contracting and market liquidity.  The Commission must gear up its staff to be able to provide a 30-day review and, lest there be an abuse of the flagging process, must define clear standards of what is and is not legitimate for flagging.</w:t>
      </w:r>
    </w:p>
    <w:p>
      <w:pPr>
        <w:pStyle w:val="Normal"/>
        <w:rPr>
          <w:b/>
          <w:sz w:val="24"/>
        </w:rPr>
      </w:pPr>
      <w:r>
        <w:rPr>
          <w:b/>
          <w:sz w:val="24"/>
        </w:rPr>
      </w:r>
    </w:p>
    <w:p>
      <w:pPr>
        <w:pStyle w:val="Normal"/>
        <w:rPr>
          <w:b/>
          <w:sz w:val="24"/>
        </w:rPr>
      </w:pPr>
      <w:r>
        <w:rPr>
          <w:b/>
          <w:sz w:val="24"/>
        </w:rPr>
      </w:r>
    </w:p>
    <w:p>
      <w:pPr>
        <w:pStyle w:val="Normal"/>
        <w:rPr>
          <w:b/>
          <w:sz w:val="24"/>
        </w:rPr>
      </w:pPr>
      <w:r>
        <w:rPr>
          <w:b/>
          <w:sz w:val="24"/>
        </w:rPr>
        <w:t xml:space="preserve">V. </w:t>
        <w:tab/>
        <w:t>UNDERSCHEDULING PENALTIES SHOULD BE LIMITED TO LOAD</w:t>
      </w:r>
    </w:p>
    <w:p>
      <w:pPr>
        <w:pStyle w:val="Normal"/>
        <w:rPr>
          <w:b/>
          <w:sz w:val="24"/>
        </w:rPr>
      </w:pPr>
      <w:r>
        <w:rPr>
          <w:b/>
          <w:sz w:val="24"/>
        </w:rPr>
      </w:r>
    </w:p>
    <w:p>
      <w:pPr>
        <w:pStyle w:val="Normal"/>
        <w:rPr>
          <w:b/>
          <w:sz w:val="24"/>
        </w:rPr>
      </w:pPr>
      <w:r>
        <w:rPr>
          <w:b/>
          <w:sz w:val="24"/>
        </w:rPr>
        <w:t>Q.</w:t>
        <w:tab/>
        <w:t xml:space="preserve">Should the proposed penalty on underscheduling be extended to generators? </w:t>
      </w:r>
    </w:p>
    <w:p>
      <w:pPr>
        <w:pStyle w:val="Normal"/>
        <w:spacing w:before="0" w:after="120"/>
        <w:rPr>
          <w:b/>
          <w:sz w:val="24"/>
        </w:rPr>
      </w:pPr>
      <w:r>
        <w:rPr>
          <w:b/>
          <w:sz w:val="24"/>
        </w:rPr>
      </w:r>
    </w:p>
    <w:p>
      <w:pPr>
        <w:pStyle w:val="Normal"/>
        <w:spacing w:before="0" w:after="120"/>
        <w:ind w:hanging="720" w:start="720" w:end="0"/>
        <w:rPr>
          <w:sz w:val="24"/>
        </w:rPr>
      </w:pPr>
      <w:r>
        <w:rPr>
          <w:sz w:val="24"/>
        </w:rPr>
        <w:t>A.</w:t>
        <w:tab/>
        <w:t xml:space="preserve">No.  In general, Enron opposes penalties.  The California ISO tariff already requires Scheduling Coordinators to submit balanced schedules. In practice, the natural variation in demand and supply makes inevitable some variance between schedules and actual market outcomes.  </w:t>
      </w:r>
    </w:p>
    <w:p>
      <w:pPr>
        <w:pStyle w:val="Normal"/>
        <w:spacing w:before="0" w:after="120"/>
        <w:ind w:start="720" w:end="0"/>
        <w:rPr>
          <w:sz w:val="24"/>
        </w:rPr>
      </w:pPr>
      <w:r>
        <w:rPr>
          <w:sz w:val="24"/>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and have foregone forward contracts as compared to historical levels.  </w:t>
      </w:r>
    </w:p>
    <w:p>
      <w:pPr>
        <w:pStyle w:val="Normal"/>
        <w:spacing w:before="0" w:after="120"/>
        <w:ind w:start="720" w:end="0"/>
        <w:rPr>
          <w:sz w:val="24"/>
        </w:rPr>
      </w:pPr>
      <w:r>
        <w:rPr>
          <w:sz w:val="24"/>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before="0" w:after="120"/>
        <w:jc w:val="start"/>
        <w:rPr/>
      </w:pPr>
      <w:r>
        <w:rPr>
          <w:rFonts w:cs="Times New Roman" w:ascii="Times New Roman" w:hAnsi="Times New Roman"/>
          <w:sz w:val="24"/>
        </w:rPr>
        <w:t>The Commission is correct, however, in focusing its proposed penalties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reliability and short-run efficiency, especially with respect to the ISO’s ancillary services protocol.</w:t>
      </w:r>
      <w:r>
        <w:rPr>
          <w:rStyle w:val="FootnoteCharacters"/>
          <w:rStyle w:val="FootnoteReference"/>
          <w:rFonts w:cs="Times New Roman" w:ascii="Times New Roman" w:hAnsi="Times New Roman"/>
          <w:sz w:val="24"/>
        </w:rPr>
        <w:footnoteReference w:id="34"/>
      </w:r>
      <w:r>
        <w:rPr>
          <w:rFonts w:cs="Times New Roman" w:ascii="Times New Roman" w:hAnsi="Times New Roman"/>
          <w:sz w:val="24"/>
        </w:rPr>
        <w:t xml:space="preserve"> </w:t>
      </w:r>
    </w:p>
    <w:p>
      <w:pPr>
        <w:pStyle w:val="FaxNormal"/>
        <w:spacing w:before="0" w:after="120"/>
        <w:jc w:val="start"/>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will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before="0" w:after="120"/>
        <w:jc w:val="start"/>
        <w:rPr>
          <w:rFonts w:ascii="Times New Roman" w:hAnsi="Times New Roman" w:cs="Times New Roman"/>
          <w:sz w:val="24"/>
        </w:rPr>
      </w:pPr>
      <w:r>
        <w:rPr>
          <w:rFonts w:cs="Times New Roman" w:ascii="Times New Roman" w:hAnsi="Times New Roman"/>
          <w:sz w:val="24"/>
        </w:rPr>
        <w:t xml:space="preserve">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  In fact, this generation acts like other forms of reserves, and may even decrease the ISO’s costs. Advocates of symmetry between suppliers and loads with respect to deviation penalties have ignored the fact that the costs created for the California ISO by positive deviations in load are very different from those created by additional generation turning up in real-time. </w:t>
      </w:r>
    </w:p>
    <w:p>
      <w:pPr>
        <w:pStyle w:val="Normal"/>
        <w:ind w:start="720" w:end="0"/>
        <w:rPr>
          <w:rFonts w:ascii="Times New Roman" w:hAnsi="Times New Roman" w:cs="Times New Roman"/>
          <w:sz w:val="24"/>
        </w:rPr>
      </w:pPr>
      <w:r>
        <w:rPr>
          <w:rFonts w:cs="Times New Roman"/>
          <w:sz w:val="24"/>
        </w:rPr>
      </w:r>
    </w:p>
    <w:p>
      <w:pPr>
        <w:pStyle w:val="Normal"/>
        <w:ind w:start="720" w:end="0"/>
        <w:rPr>
          <w:b/>
          <w:sz w:val="24"/>
        </w:rPr>
      </w:pPr>
      <w:r>
        <w:rPr>
          <w:b/>
          <w:sz w:val="24"/>
        </w:rPr>
        <w:t>VI.  THE COMMISSION SHOULD ORDER THE ISO TO PROVIDE MORE INFORMATION TO THE MARKETPLACE</w:t>
      </w:r>
    </w:p>
    <w:p>
      <w:pPr>
        <w:pStyle w:val="Normal"/>
        <w:ind w:start="720" w:end="0"/>
        <w:rPr>
          <w:b/>
          <w:sz w:val="24"/>
        </w:rPr>
      </w:pPr>
      <w:r>
        <w:rPr>
          <w:b/>
          <w:sz w:val="24"/>
        </w:rPr>
      </w:r>
    </w:p>
    <w:p>
      <w:pPr>
        <w:pStyle w:val="Normal"/>
        <w:numPr>
          <w:ilvl w:val="0"/>
          <w:numId w:val="14"/>
        </w:numPr>
        <w:rPr>
          <w:b/>
          <w:sz w:val="24"/>
        </w:rPr>
      </w:pPr>
      <w:r>
        <w:rPr>
          <w:b/>
          <w:sz w:val="24"/>
        </w:rPr>
        <w:t>Are there other actions the Commission can take at this time to improve California’s market efficiency?</w:t>
      </w:r>
    </w:p>
    <w:p>
      <w:pPr>
        <w:pStyle w:val="Normal"/>
        <w:rPr>
          <w:b/>
          <w:sz w:val="24"/>
        </w:rPr>
      </w:pPr>
      <w:r>
        <w:rPr>
          <w:b/>
          <w:sz w:val="24"/>
        </w:rPr>
      </w:r>
    </w:p>
    <w:p>
      <w:pPr>
        <w:pStyle w:val="BodyTextIndent"/>
        <w:rPr/>
      </w:pPr>
      <w:r>
        <w:rPr/>
        <w:t>A.</w:t>
        <w:tab/>
        <w:t xml:space="preserve">Yes.  Despite Enron’s presentation of the need for increased market transparency in its White Paper, the Commission’s order did not address the issue of information provision to California market participants. The White Paper highlighted that better information – particularly in a decentralized market like California – leads to a better allocation of resources, enhances liquidity in traded energy and transmission capacity products, and assists in detecting potentially collusive behavior. </w:t>
      </w:r>
    </w:p>
    <w:p>
      <w:pPr>
        <w:pStyle w:val="Normal"/>
        <w:rPr>
          <w:sz w:val="24"/>
        </w:rPr>
      </w:pPr>
      <w:r>
        <w:rPr>
          <w:sz w:val="24"/>
        </w:rPr>
      </w:r>
    </w:p>
    <w:p>
      <w:pPr>
        <w:pStyle w:val="BodyText3"/>
        <w:ind w:start="720" w:end="0"/>
        <w:rPr/>
      </w:pPr>
      <w:r>
        <w:rPr/>
        <w:t xml:space="preserve">Markets need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Q.</w:t>
        <w:tab/>
        <w:t>What specific information should be provided by the ISO to market participants?</w:t>
      </w:r>
    </w:p>
    <w:p>
      <w:pPr>
        <w:pStyle w:val="Normal"/>
        <w:spacing w:lineRule="atLeast" w:line="240"/>
        <w:rPr>
          <w:b/>
          <w:color w:val="000000"/>
          <w:sz w:val="24"/>
          <w:lang w:eastAsia="en-US"/>
        </w:rPr>
      </w:pPr>
      <w:r>
        <w:rPr>
          <w:b/>
          <w:color w:val="000000"/>
          <w:sz w:val="24"/>
          <w:lang w:eastAsia="en-US"/>
        </w:rPr>
      </w:r>
    </w:p>
    <w:p>
      <w:pPr>
        <w:pStyle w:val="BodyTextIndent3"/>
        <w:rPr/>
      </w:pPr>
      <w:r>
        <w:rPr/>
        <w:t>A.</w:t>
        <w:tab/>
      </w:r>
      <w:r>
        <w:rPr>
          <w:b w:val="false"/>
        </w:rPr>
        <w:t xml:space="preserve">The following is information needed by the California market that is currently not provided by the ISO: </w:t>
      </w:r>
    </w:p>
    <w:p>
      <w:pPr>
        <w:pStyle w:val="Normal"/>
        <w:spacing w:lineRule="atLeast" w:line="240"/>
        <w:rPr>
          <w:color w:val="000000"/>
          <w:sz w:val="24"/>
          <w:lang w:eastAsia="en-US"/>
        </w:rPr>
      </w:pPr>
      <w:r>
        <w:rPr>
          <w:color w:val="000000"/>
          <w:sz w:val="24"/>
          <w:lang w:eastAsia="en-US"/>
        </w:rPr>
      </w:r>
    </w:p>
    <w:p>
      <w:pPr>
        <w:pStyle w:val="Normal"/>
        <w:numPr>
          <w:ilvl w:val="0"/>
          <w:numId w:val="6"/>
        </w:numPr>
        <w:spacing w:lineRule="atLeast" w:line="240"/>
        <w:rPr>
          <w:color w:val="000000"/>
          <w:sz w:val="24"/>
          <w:lang w:eastAsia="en-US"/>
        </w:rPr>
      </w:pPr>
      <w:r>
        <w:rPr>
          <w:b/>
          <w:color w:val="000000"/>
          <w:sz w:val="24"/>
          <w:lang w:eastAsia="en-US"/>
        </w:rPr>
        <w:t>Basic</w:t>
      </w:r>
      <w:r>
        <w:rPr>
          <w:color w:val="000000"/>
          <w:sz w:val="24"/>
          <w:lang w:eastAsia="en-US"/>
        </w:rPr>
        <w:t xml:space="preserve"> (information that is readily available and requires little effort to develop reports)</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 xml:space="preserve">actual Load by ISO zone </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actual branch group flow</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available transmission capacity (including adjustments for grandfathered capacity)</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out-of-market call price and volume by hour</w:t>
      </w:r>
    </w:p>
    <w:p>
      <w:pPr>
        <w:pStyle w:val="Normal"/>
        <w:spacing w:lineRule="atLeast" w:line="240"/>
        <w:rPr>
          <w:color w:val="000000"/>
          <w:sz w:val="24"/>
          <w:lang w:eastAsia="en-US"/>
        </w:rPr>
      </w:pPr>
      <w:r>
        <w:rPr>
          <w:color w:val="000000"/>
          <w:sz w:val="24"/>
          <w:lang w:eastAsia="en-US"/>
        </w:rPr>
      </w:r>
    </w:p>
    <w:p>
      <w:pPr>
        <w:pStyle w:val="Normal"/>
        <w:numPr>
          <w:ilvl w:val="0"/>
          <w:numId w:val="6"/>
        </w:numPr>
        <w:spacing w:lineRule="atLeast" w:line="240"/>
        <w:rPr>
          <w:color w:val="000000"/>
          <w:sz w:val="24"/>
          <w:lang w:eastAsia="en-US"/>
        </w:rPr>
      </w:pPr>
      <w:r>
        <w:rPr>
          <w:b/>
          <w:color w:val="000000"/>
          <w:sz w:val="24"/>
          <w:lang w:eastAsia="en-US"/>
        </w:rPr>
        <w:t>Detailed</w:t>
      </w:r>
      <w:r>
        <w:rPr>
          <w:color w:val="000000"/>
          <w:sz w:val="24"/>
          <w:lang w:eastAsia="en-US"/>
        </w:rPr>
        <w:t xml:space="preserve"> (information that is readily available but may require effort to develop external reports)</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input and output data from congestion price and target price determination</w:t>
      </w:r>
    </w:p>
    <w:p>
      <w:pPr>
        <w:pStyle w:val="Normal"/>
        <w:numPr>
          <w:ilvl w:val="4"/>
          <w:numId w:val="6"/>
        </w:numPr>
        <w:tabs>
          <w:tab w:val="left" w:pos="720" w:leader="none"/>
        </w:tabs>
        <w:spacing w:lineRule="atLeast" w:line="240"/>
        <w:ind w:hanging="360" w:start="720" w:end="0"/>
        <w:rPr>
          <w:color w:val="000000"/>
          <w:sz w:val="24"/>
          <w:lang w:eastAsia="en-US"/>
        </w:rPr>
      </w:pPr>
      <w:r>
        <w:rPr>
          <w:color w:val="000000"/>
          <w:sz w:val="24"/>
          <w:lang w:eastAsia="en-US"/>
        </w:rPr>
        <w:t>timely release of anonymous bid and offer data for energy and ancillary services markets</w:t>
      </w:r>
    </w:p>
    <w:p>
      <w:pPr>
        <w:pStyle w:val="Normal"/>
        <w:spacing w:lineRule="atLeast" w:line="240"/>
        <w:rPr>
          <w:color w:val="000000"/>
          <w:sz w:val="24"/>
          <w:lang w:eastAsia="en-US"/>
        </w:rPr>
      </w:pPr>
      <w:r>
        <w:rPr>
          <w:color w:val="000000"/>
          <w:sz w:val="24"/>
          <w:lang w:eastAsia="en-US"/>
        </w:rPr>
      </w:r>
    </w:p>
    <w:p>
      <w:pPr>
        <w:pStyle w:val="BodyTextIndent3"/>
        <w:ind w:hanging="0" w:start="0" w:end="0"/>
        <w:rPr>
          <w:b w:val="false"/>
        </w:rPr>
      </w:pPr>
      <w:r>
        <w:rPr>
          <w:b w:val="false"/>
        </w:rPr>
        <w:t>It is easy to appreciate the negative consequences of incomplete information.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jurisdictional power markets such as PJM but is not made available by the California ISO.</w:t>
      </w:r>
    </w:p>
    <w:p>
      <w:pPr>
        <w:pStyle w:val="Normal"/>
        <w:spacing w:lineRule="atLeast" w:line="240"/>
        <w:rPr>
          <w:b/>
          <w:color w:val="000000"/>
          <w:sz w:val="24"/>
          <w:lang w:eastAsia="en-US"/>
        </w:rPr>
      </w:pPr>
      <w:r>
        <w:rPr>
          <w:b/>
          <w:color w:val="000000"/>
          <w:sz w:val="24"/>
          <w:lang w:eastAsia="en-US"/>
        </w:rPr>
      </w:r>
    </w:p>
    <w:p>
      <w:pPr>
        <w:pStyle w:val="Normal"/>
        <w:rPr/>
      </w:pPr>
      <w:r>
        <w:rPr>
          <w:sz w:val="24"/>
        </w:rPr>
        <w:t xml:space="preserve">California market exhibits other information gaps that thwart market efficiency.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35"/>
      </w:r>
      <w:r>
        <w:rPr>
          <w:sz w:val="24"/>
        </w:rPr>
        <w:t xml:space="preserve">  Despite the clear value information on outages provides the market, the ISO provides no such information.</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Does this conclude your testimony.</w:t>
      </w:r>
    </w:p>
    <w:p>
      <w:pPr>
        <w:pStyle w:val="Normal"/>
        <w:rPr>
          <w:b/>
          <w:sz w:val="24"/>
        </w:rPr>
      </w:pPr>
      <w:r>
        <w:rPr>
          <w:b/>
          <w:sz w:val="24"/>
        </w:rPr>
      </w:r>
    </w:p>
    <w:p>
      <w:pPr>
        <w:pStyle w:val="Normal"/>
        <w:rPr>
          <w:sz w:val="24"/>
        </w:rPr>
      </w:pPr>
      <w:r>
        <w:rPr>
          <w:sz w:val="24"/>
        </w:rPr>
        <w:t>A.</w:t>
        <w:tab/>
        <w:t>Yes, it does.</w:t>
      </w:r>
    </w:p>
    <w:sectPr>
      <w:footerReference w:type="default" r:id="rId3"/>
      <w:footnotePr>
        <w:numFmt w:val="decimal"/>
      </w:footnotePr>
      <w:type w:val="nextPage"/>
      <w:pgSz w:w="12240" w:h="15840"/>
      <w:pgMar w:left="108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altName w:val="Georgi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rPr/>
      </w:pPr>
      <w:r>
        <w:rPr>
          <w:rStyle w:val="FootnoteCharacters"/>
        </w:rPr>
        <w:footnoteRef/>
      </w:r>
      <w:r>
        <w:rPr/>
        <w:t xml:space="preserve">  </w:t>
      </w:r>
      <w:r>
        <w:rPr/>
        <w:t>FERC Order (advance sheet copy), November 1, 2000 (Order), p. 37, fn 81.</w:t>
      </w:r>
    </w:p>
  </w:footnote>
  <w:footnote w:id="4">
    <w:p>
      <w:pPr>
        <w:pStyle w:val="FootnoteText"/>
        <w:rPr/>
      </w:pPr>
      <w:r>
        <w:rPr>
          <w:rStyle w:val="FootnoteCharacters"/>
        </w:rPr>
        <w:footnoteRef/>
      </w:r>
      <w:r>
        <w:rPr/>
        <w:t xml:space="preserve">  “</w:t>
      </w:r>
      <w:r>
        <w:rPr/>
        <w:t>Staff Report to the Federal Energy Regulatory Commission on Western Markets and the Causes of the Summer 2000 Price Abnormalities, Part I of Staff Report on U.S. Bulk Power Markets,” (Staff Report), November 1, 2000 p. 5-16.</w:t>
      </w:r>
    </w:p>
  </w:footnote>
  <w:footnote w:id="5">
    <w:p>
      <w:pPr>
        <w:pStyle w:val="FootnoteText"/>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 Staff Report, p. 5-16.</w:t>
      </w:r>
    </w:p>
  </w:footnote>
  <w:footnote w:id="6">
    <w:p>
      <w:pPr>
        <w:pStyle w:val="FootnoteText"/>
        <w:rPr/>
      </w:pPr>
      <w:r>
        <w:rPr>
          <w:rStyle w:val="FootnoteCharacters"/>
        </w:rPr>
        <w:footnoteRef/>
      </w:r>
      <w:r>
        <w:rPr/>
        <w:t xml:space="preserve">  </w:t>
      </w:r>
      <w:r>
        <w:rPr/>
        <w:t>Harvey, S., and William W. Hogan. October 27, 2000. “Issues in the Analysis of Market Power in California”.</w:t>
      </w:r>
    </w:p>
  </w:footnote>
  <w:footnote w:id="7">
    <w:p>
      <w:pPr>
        <w:pStyle w:val="FootnoteText"/>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rPr/>
      </w:pPr>
      <w:r>
        <w:rPr>
          <w:rStyle w:val="FootnoteCharacters"/>
        </w:rPr>
        <w:footnoteRef/>
      </w:r>
      <w:r>
        <w:rPr/>
        <w:t xml:space="preserve">  </w:t>
      </w:r>
      <w:r>
        <w:rPr/>
        <w:t>See, e.g. Market Surveillance Committee of the California Independent System Operator. September 6, 2000. “An Analysis of the June 2000 Price Spikes in the California ISO’s Energy and Ancillary Services Markets.”</w:t>
      </w:r>
    </w:p>
  </w:footnote>
  <w:footnote w:id="9">
    <w:p>
      <w:pPr>
        <w:pStyle w:val="FootnoteText"/>
        <w:rPr/>
      </w:pPr>
      <w:r>
        <w:rPr>
          <w:rStyle w:val="FootnoteCharacters"/>
        </w:rPr>
        <w:footnoteRef/>
      </w:r>
      <w:r>
        <w:rPr/>
        <w:t xml:space="preserve">  </w:t>
      </w:r>
      <w:r>
        <w:rPr/>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Harvey and Hogan, P. 29.</w:t>
      </w:r>
    </w:p>
  </w:footnote>
  <w:footnote w:id="11">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Staff Report:  “Investigation of Bulk Power Market”, Midwest Region,  November 1, 2000, p. 16</w:t>
      </w:r>
    </w:p>
  </w:footnote>
  <w:footnote w:id="16">
    <w:p>
      <w:pPr>
        <w:pStyle w:val="FootnoteText"/>
        <w:rPr/>
      </w:pPr>
      <w:r>
        <w:rPr>
          <w:rStyle w:val="FootnoteCharacters"/>
        </w:rPr>
        <w:footnoteRef/>
      </w:r>
      <w:r>
        <w:rPr/>
        <w:t xml:space="preserve">  </w:t>
      </w:r>
      <w:r>
        <w:rPr/>
        <w:t>Order, p. 39, footnote 84.</w:t>
      </w:r>
    </w:p>
  </w:footnote>
  <w:footnote w:id="17">
    <w:p>
      <w:pPr>
        <w:pStyle w:val="FootnoteText"/>
        <w:rPr/>
      </w:pPr>
      <w:r>
        <w:rPr>
          <w:rStyle w:val="FootnoteCharacters"/>
        </w:rPr>
        <w:footnoteRef/>
      </w:r>
      <w:r>
        <w:rPr/>
        <w:t xml:space="preserve">  </w:t>
      </w:r>
      <w:r>
        <w:rPr>
          <w:i/>
        </w:rPr>
        <w:t>California Energy Markets</w:t>
      </w:r>
      <w:r>
        <w:rPr/>
        <w:t>, Issue 587, October 6, 2000, p. 11.</w:t>
      </w:r>
    </w:p>
  </w:footnote>
  <w:footnote w:id="18">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19">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more normal after-tax cost of equity capital of 15%.</w:t>
      </w:r>
    </w:p>
  </w:footnote>
  <w:footnote w:id="20">
    <w:p>
      <w:pPr>
        <w:pStyle w:val="FootnoteText"/>
        <w:rPr/>
      </w:pPr>
      <w:r>
        <w:rPr>
          <w:rStyle w:val="FootnoteCharacters"/>
        </w:rPr>
        <w:footnoteRef/>
      </w:r>
      <w:r>
        <w:rPr/>
        <w:t xml:space="preserve">  </w:t>
      </w:r>
      <w:r>
        <w:rPr/>
        <w:t>On or about August 1, 2000, a price cap of $250/MWh was put into place.</w:t>
      </w:r>
    </w:p>
  </w:footnote>
  <w:footnote w:id="21">
    <w:p>
      <w:pPr>
        <w:pStyle w:val="FootnoteText"/>
        <w:rPr/>
      </w:pPr>
      <w:r>
        <w:rPr>
          <w:rStyle w:val="FootnoteCharacters"/>
        </w:rPr>
        <w:footnoteRef/>
      </w:r>
      <w:r>
        <w:rPr/>
        <w:t xml:space="preserve">  </w:t>
      </w:r>
      <w:r>
        <w:rPr/>
        <w:t xml:space="preserve">Department of Market Analysis, California Independent System Operator. August 10, 2000. “Report on California Energy Market, Issues and Performance: May-June, 2000, Special Report”. P.2. </w:t>
      </w:r>
    </w:p>
  </w:footnote>
  <w:footnote w:id="22">
    <w:p>
      <w:pPr>
        <w:pStyle w:val="FootnoteText"/>
        <w:rPr/>
      </w:pPr>
      <w:r>
        <w:rPr>
          <w:rStyle w:val="FootnoteCharacters"/>
        </w:rPr>
        <w:footnoteRef/>
      </w:r>
      <w:r>
        <w:rPr/>
        <w:t xml:space="preserve">  </w:t>
      </w:r>
      <w:r>
        <w:rPr/>
        <w:t>Order, Footnote 87. P.35.</w:t>
      </w:r>
    </w:p>
  </w:footnote>
  <w:footnote w:id="23">
    <w:p>
      <w:pPr>
        <w:pStyle w:val="FootnoteText"/>
        <w:rPr/>
      </w:pPr>
      <w:r>
        <w:rPr>
          <w:rStyle w:val="FootnoteCharacters"/>
        </w:rPr>
        <w:footnoteRef/>
      </w:r>
      <w:r>
        <w:rPr/>
        <w:t xml:space="preserve">  </w:t>
      </w:r>
      <w:r>
        <w:rPr/>
        <w:t>Department of Market Analysis, California ISO. March 2000. “Price Cap Policy for Summer 2000.”</w:t>
      </w:r>
    </w:p>
  </w:footnote>
  <w:footnote w:id="24">
    <w:p>
      <w:pPr>
        <w:pStyle w:val="FootnoteText"/>
        <w:rPr/>
      </w:pPr>
      <w:r>
        <w:rPr>
          <w:rStyle w:val="FootnoteCharacters"/>
        </w:rPr>
        <w:footnoteRef/>
      </w:r>
      <w:r>
        <w:rPr/>
        <w:t xml:space="preserve">  </w:t>
      </w:r>
      <w:r>
        <w:rPr/>
        <w:t>Order, p. 42 and footnote 91.</w:t>
      </w:r>
    </w:p>
  </w:footnote>
  <w:footnote w:id="25">
    <w:p>
      <w:pPr>
        <w:pStyle w:val="FootnoteText"/>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6">
    <w:p>
      <w:pPr>
        <w:pStyle w:val="FootnoteText"/>
        <w:rPr/>
      </w:pPr>
      <w:r>
        <w:rPr>
          <w:rStyle w:val="FootnoteCharacters"/>
        </w:rPr>
        <w:footnoteRef/>
      </w:r>
      <w:r>
        <w:rPr/>
        <w:t xml:space="preserve"> </w:t>
      </w:r>
      <w:r>
        <w:rPr/>
        <w:t>Order at p. 17, footnote 34. The ISO’s load-differentiated cap was defined as follows:</w:t>
      </w:r>
    </w:p>
    <w:p>
      <w:pPr>
        <w:pStyle w:val="FootnoteText"/>
        <w:rPr>
          <w:u w:val="single"/>
        </w:rPr>
      </w:pPr>
      <w:r>
        <w:rPr>
          <w:u w:val="single"/>
        </w:rPr>
        <w:t xml:space="preserve">          </w:t>
      </w:r>
      <w:r>
        <w:rPr>
          <w:u w:val="single"/>
        </w:rPr>
        <w:t>Load Level          Heat Rate (Btu/kWh)</w:t>
      </w:r>
    </w:p>
    <w:p>
      <w:pPr>
        <w:pStyle w:val="FootnoteText"/>
        <w:rPr/>
      </w:pPr>
      <w:r>
        <w:rPr/>
        <w:t xml:space="preserve">          </w:t>
      </w:r>
      <w:r>
        <w:rPr/>
        <w:t xml:space="preserve">&lt;25 GW              </w:t>
        <w:tab/>
        <w:t xml:space="preserve">10,775  </w:t>
      </w:r>
    </w:p>
    <w:p>
      <w:pPr>
        <w:pStyle w:val="FootnoteText"/>
        <w:rPr/>
      </w:pPr>
      <w:r>
        <w:rPr/>
        <w:t xml:space="preserve">          </w:t>
      </w:r>
      <w:r>
        <w:rPr/>
        <w:t xml:space="preserve">25 GW to 30 GW </w:t>
        <w:tab/>
        <w:t xml:space="preserve">14,175            </w:t>
      </w:r>
    </w:p>
    <w:p>
      <w:pPr>
        <w:pStyle w:val="FootnoteText"/>
        <w:rPr/>
      </w:pPr>
      <w:r>
        <w:rPr/>
        <w:t xml:space="preserve">          </w:t>
      </w:r>
      <w:r>
        <w:rPr/>
        <w:t xml:space="preserve">30 GW to 35 GW       17,225        </w:t>
      </w:r>
    </w:p>
    <w:p>
      <w:pPr>
        <w:pStyle w:val="FootnoteText"/>
        <w:rPr/>
      </w:pPr>
      <w:r>
        <w:rPr/>
        <w:t xml:space="preserve">          </w:t>
      </w:r>
      <w:r>
        <w:rPr/>
        <w:t xml:space="preserve">35 GW to 40 GW       27,225          </w:t>
      </w:r>
    </w:p>
    <w:p>
      <w:pPr>
        <w:pStyle w:val="FootnoteText"/>
        <w:rPr/>
      </w:pPr>
      <w:r>
        <w:rPr/>
        <w:t xml:space="preserve">          </w:t>
      </w:r>
      <w:r>
        <w:rPr/>
        <w:t>&gt;40 GW              $250/MWh</w:t>
      </w:r>
    </w:p>
    <w:p>
      <w:pPr>
        <w:pStyle w:val="FootnoteText"/>
        <w:rPr/>
      </w:pPr>
      <w:r>
        <w:rPr/>
        <w:t>For caps defined in heat rate terms, gas prices were based on the average NYMEX Henry Hub L3D settlement average.</w:t>
      </w:r>
    </w:p>
  </w:footnote>
  <w:footnote w:id="27">
    <w:p>
      <w:pPr>
        <w:pStyle w:val="FootnoteText"/>
        <w:rPr/>
      </w:pPr>
      <w:r>
        <w:rPr>
          <w:rStyle w:val="FootnoteCharacters"/>
        </w:rPr>
        <w:footnoteRef/>
      </w:r>
      <w:r>
        <w:rPr/>
        <w:t xml:space="preserve"> </w:t>
      </w:r>
      <w:r>
        <w:rPr/>
        <w:t>Megawatt Daily, November 15, 2000, p. 8.</w:t>
      </w:r>
    </w:p>
  </w:footnote>
  <w:footnote w:id="28">
    <w:p>
      <w:pPr>
        <w:pStyle w:val="FootnoteText"/>
        <w:rPr/>
      </w:pPr>
      <w:r>
        <w:rPr>
          <w:rStyle w:val="FootnoteCharacters"/>
        </w:rPr>
        <w:footnoteRef/>
      </w:r>
      <w:r>
        <w:rPr/>
        <w:t xml:space="preserve"> </w:t>
      </w:r>
      <w:r>
        <w:rPr/>
        <w:t>Order, p. 23, fn 44</w:t>
      </w:r>
    </w:p>
  </w:footnote>
  <w:footnote w:id="29">
    <w:p>
      <w:pPr>
        <w:pStyle w:val="FootnoteText"/>
        <w:rPr/>
      </w:pPr>
      <w:r>
        <w:rPr>
          <w:rStyle w:val="FootnoteCharacters"/>
        </w:rPr>
        <w:footnoteRef/>
      </w:r>
      <w:r>
        <w:rPr/>
        <w:t xml:space="preserve"> </w:t>
      </w:r>
      <w:r>
        <w:rPr/>
        <w:t>Term deals represent trades for contracts with terms one month or greater.  Deals shown include both physical and financial trades.</w:t>
      </w:r>
    </w:p>
  </w:footnote>
  <w:footnote w:id="30">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1">
    <w:p>
      <w:pPr>
        <w:pStyle w:val="FootnoteText"/>
        <w:rPr/>
      </w:pPr>
      <w:r>
        <w:rPr>
          <w:rStyle w:val="FootnoteCharacters"/>
        </w:rPr>
        <w:footnoteRef/>
      </w:r>
      <w:r>
        <w:rPr/>
        <w:t xml:space="preserve">  </w:t>
      </w:r>
      <w:r>
        <w:rPr/>
        <w:t>Order, p.36.</w:t>
      </w:r>
    </w:p>
  </w:footnote>
  <w:footnote w:id="32">
    <w:p>
      <w:pPr>
        <w:pStyle w:val="FootnoteText"/>
        <w:rPr/>
      </w:pPr>
      <w:r>
        <w:rPr>
          <w:rStyle w:val="FootnoteCharacters"/>
        </w:rPr>
        <w:footnoteRef/>
      </w:r>
      <w:r>
        <w:rPr/>
        <w:t xml:space="preserve">  </w:t>
      </w:r>
      <w:r>
        <w:rPr/>
        <w:t>Staff Report, p. 5-17.</w:t>
      </w:r>
    </w:p>
  </w:footnote>
  <w:footnote w:id="33">
    <w:p>
      <w:pPr>
        <w:pStyle w:val="FootnoteText"/>
        <w:rPr/>
      </w:pPr>
      <w:r>
        <w:rPr>
          <w:rStyle w:val="FootnoteCharacters"/>
        </w:rPr>
        <w:footnoteRef/>
      </w:r>
      <w:r>
        <w:rPr/>
        <w:t xml:space="preserve">  </w:t>
      </w:r>
      <w:r>
        <w:rPr/>
        <w:t>Other energy-limited supply resources include generators with air emission permits that limit output and for which emission offset trading is illiquid or not allowed; and resources, such as biomass, that have a finite fuel supply.</w:t>
      </w:r>
    </w:p>
  </w:footnote>
  <w:footnote w:id="34">
    <w:p>
      <w:pPr>
        <w:pStyle w:val="FootnoteText"/>
        <w:rPr/>
      </w:pPr>
      <w:r>
        <w:rPr>
          <w:rStyle w:val="FootnoteCharacters"/>
        </w:rPr>
        <w:footnoteRef/>
      </w:r>
      <w:r>
        <w:rPr/>
        <w:t xml:space="preserve">  </w:t>
      </w:r>
      <w:r>
        <w:rPr/>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5">
    <w:p>
      <w:pPr>
        <w:pStyle w:val="FootnoteText"/>
        <w:rPr/>
      </w:pPr>
      <w:r>
        <w:rPr>
          <w:rStyle w:val="FootnoteCharacters"/>
        </w:rPr>
        <w:footnoteRef/>
      </w:r>
      <w:r>
        <w:rPr/>
        <w:t xml:space="preserve">  </w:t>
      </w:r>
      <w:r>
        <w:rPr/>
        <w:t xml:space="preserve">Staff Report, p. 5-4.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720"/>
        </w:tabs>
        <w:ind w:start="720" w:hanging="720"/>
      </w:pPr>
      <w:rPr>
        <w:b w:val="false"/>
      </w:rPr>
    </w:lvl>
  </w:abstractNum>
  <w:abstractNum w:abstractNumId="9">
    <w:lvl w:ilvl="0">
      <w:start w:val="17"/>
      <w:numFmt w:val="upperLetter"/>
      <w:lvlText w:val="%1."/>
      <w:lvlJc w:val="start"/>
      <w:pPr>
        <w:tabs>
          <w:tab w:val="num" w:pos="720"/>
        </w:tabs>
        <w:ind w:start="72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7"/>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b w:val="false"/>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b w:val="false"/>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Georgia" w:hAnsi="Book Antiqua;Georgia" w:cs="Book Antiqua;Georgi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Georgia" w:hAnsi="Book Antiqua;Georgia" w:cs="Book Antiqua;Georgi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Georgia" w:hAnsi="Book Antiqua;Georgia" w:cs="Book Antiqua;Georgia"/>
      <w:b/>
      <w:sz w:val="22"/>
    </w:rPr>
  </w:style>
  <w:style w:type="paragraph" w:styleId="ListBullet1">
    <w:name w:val="List Bullet1"/>
    <w:basedOn w:val="Normal"/>
    <w:qFormat/>
    <w:pPr>
      <w:numPr>
        <w:ilvl w:val="0"/>
        <w:numId w:val="11"/>
      </w:numPr>
      <w:suppressAutoHyphens w:val="true"/>
      <w:spacing w:before="0" w:after="240"/>
      <w:jc w:val="both"/>
    </w:pPr>
    <w:rPr>
      <w:rFonts w:ascii="Book Antiqua;Georgia" w:hAnsi="Book Antiqua;Georgia" w:cs="Book Antiqua;Georgia"/>
      <w:sz w:val="22"/>
    </w:rPr>
  </w:style>
  <w:style w:type="paragraph" w:styleId="3SubPara">
    <w:name w:val="3SubPara"/>
    <w:basedOn w:val="Normal"/>
    <w:next w:val="Normal"/>
    <w:qFormat/>
    <w:pPr>
      <w:suppressAutoHyphens w:val="true"/>
      <w:spacing w:before="120" w:after="240"/>
      <w:jc w:val="both"/>
    </w:pPr>
    <w:rPr>
      <w:rFonts w:ascii="Book Antiqua;Georgia" w:hAnsi="Book Antiqua;Georgia" w:cs="Book Antiqua;Georgia"/>
      <w:b/>
      <w:sz w:val="28"/>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2SubSectionHead">
    <w:name w:val="2SubSectionHead"/>
    <w:basedOn w:val="Normal"/>
    <w:next w:val="Normal"/>
    <w:qFormat/>
    <w:pPr>
      <w:suppressAutoHyphens w:val="true"/>
      <w:spacing w:before="240" w:after="240"/>
      <w:jc w:val="both"/>
    </w:pPr>
    <w:rPr>
      <w:rFonts w:ascii="Book Antiqua;Georgia" w:hAnsi="Book Antiqua;Georgia" w:cs="Book Antiqua;Georgi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eastAsia="zh-CN" w:bidi="hi-I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BodyTextIndent3">
    <w:name w:val="Body Text Indent 3"/>
    <w:basedOn w:val="Normal"/>
    <w:qFormat/>
    <w:pPr>
      <w:ind w:hanging="720" w:start="72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2000-11-21T19:39:00Z</dcterms:created>
  <dc:creator>G. Alan Comnes</dc:creator>
  <dc:description/>
  <dc:language>en-CA</dc:language>
  <cp:lastModifiedBy>G. Alan Comnes</cp:lastModifiedBy>
  <cp:lastPrinted>2000-11-21T16:52:00Z</cp:lastPrinted>
  <dcterms:modified xsi:type="dcterms:W3CDTF">2000-11-22T00:38:00Z</dcterms:modified>
  <cp:revision>22</cp:revision>
  <dc:subject/>
  <dc:title>Affidavit Outline</dc:title>
</cp:coreProperties>
</file>