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874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10"/>
        <w:gridCol w:w="7038"/>
      </w:tblGrid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Company Name</w:t>
            </w:r>
          </w:p>
        </w:tc>
        <w:tc>
          <w:tcPr>
            <w:tcW w:w="70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</w:r>
          </w:p>
          <w:p>
            <w:pPr>
              <w:pStyle w:val="Normal"/>
              <w:rPr>
                <w:rFonts w:ascii="Courier New" w:hAnsi="Courier New" w:eastAsia="Courier New" w:cs="Courier New"/>
                <w:b/>
                <w:bCs/>
              </w:rPr>
            </w:pPr>
            <w:r>
              <w:rPr>
                <w:rFonts w:eastAsia="Courier New" w:cs="Courier New" w:ascii="Courier New" w:hAnsi="Courier New"/>
                <w:b/>
                <w:bCs/>
              </w:rPr>
              <w:t>TechSpan Inc.</w:t>
            </w:r>
          </w:p>
          <w:p>
            <w:pPr>
              <w:pStyle w:val="Normal"/>
              <w:rPr>
                <w:rFonts w:ascii="Courier New" w:hAnsi="Courier New" w:eastAsia="Courier New" w:cs="Courier New"/>
                <w:b/>
                <w:bCs/>
              </w:rPr>
            </w:pPr>
            <w:r>
              <w:rPr>
                <w:rFonts w:eastAsia="Courier New" w:cs="Courier New" w:ascii="Courier New" w:hAnsi="Courier New"/>
                <w:b/>
                <w:bCs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Brief Company History</w:t>
            </w:r>
          </w:p>
        </w:tc>
        <w:tc>
          <w:tcPr>
            <w:tcW w:w="70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Incorporated in July 1998.  Began operations in January 1999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Number of Employees</w:t>
            </w:r>
          </w:p>
        </w:tc>
        <w:tc>
          <w:tcPr>
            <w:tcW w:w="70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700 +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Public or Private</w:t>
            </w:r>
          </w:p>
        </w:tc>
        <w:tc>
          <w:tcPr>
            <w:tcW w:w="70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Private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Product Description</w:t>
            </w:r>
          </w:p>
        </w:tc>
        <w:tc>
          <w:tcPr>
            <w:tcW w:w="70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End-to-end e-commerce Consulting &amp; Integration services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Physical Locations</w:t>
            </w:r>
          </w:p>
        </w:tc>
        <w:tc>
          <w:tcPr>
            <w:tcW w:w="70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720" w:start="1080" w:end="0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Sunnyvale, CA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720" w:start="1080" w:end="0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Fairfax, VA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720" w:start="1080" w:end="0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Springfield, NJ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720" w:start="1080" w:end="0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New York, NY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720" w:start="1080" w:end="0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Noida, UP, India (Total 3 Locations in India)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ind w:hanging="360" w:start="360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Internet Address</w:t>
            </w:r>
          </w:p>
        </w:tc>
        <w:tc>
          <w:tcPr>
            <w:tcW w:w="70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Style w:val="Hyperlink"/>
                <w:rFonts w:eastAsia="Courier New" w:cs="Courier New" w:ascii="Courier New" w:hAnsi="Courier New"/>
              </w:rPr>
              <w:t>www.techspan.com</w:t>
            </w:r>
          </w:p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Management Team</w:t>
            </w:r>
          </w:p>
        </w:tc>
        <w:tc>
          <w:tcPr>
            <w:tcW w:w="70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</w:r>
          </w:p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* Arjun Malhotra - Chairman &amp; CEO</w:t>
            </w:r>
          </w:p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* Aloke Paskar - Managing Partners; East</w:t>
            </w:r>
          </w:p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* Bill Archer - VP Worldwide Marketing</w:t>
            </w:r>
          </w:p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* Bonnie Singh - Ex. Director; Fulfillment</w:t>
            </w:r>
          </w:p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* Dr. Curt Terwilliger - Managing Partner; Technology</w:t>
            </w:r>
          </w:p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* Gary Lewis - VP Finance</w:t>
            </w:r>
          </w:p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* Gurnam Dubey - SVP Marketing Services</w:t>
            </w:r>
          </w:p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* Harsh Singh Lohit - Managing Partner India Operations</w:t>
            </w:r>
          </w:p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* Nicki Mehra - Managing Partner; West</w:t>
            </w:r>
          </w:p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* Peter Purushotma - SVP Alliances</w:t>
            </w:r>
          </w:p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* Puneet Pushkarna - Managing Partner Competency Devp.</w:t>
            </w:r>
          </w:p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* Ramprasad A K - VP Software Delivery</w:t>
            </w:r>
          </w:p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* Sandeep Sahai - Managing Partner;Strategic Initiatives</w:t>
            </w:r>
          </w:p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Board of Directors</w:t>
            </w:r>
          </w:p>
        </w:tc>
        <w:tc>
          <w:tcPr>
            <w:tcW w:w="70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</w:r>
          </w:p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* Arjun Malhotra (Chairman and CEO)</w:t>
            </w:r>
          </w:p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* Atul Kapur (Goldman Sachs)</w:t>
            </w:r>
          </w:p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* Randy Blumenthal (Goldman Sachs)</w:t>
            </w:r>
          </w:p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* Rakinder Grover (Walden International)</w:t>
            </w:r>
          </w:p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* Subhash Arora (Private Investor)</w:t>
            </w:r>
          </w:p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* Bill Coleman Chairman, CEO – BEA Systems (Advisory)</w:t>
            </w:r>
          </w:p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Sales (Rev)</w:t>
            </w:r>
          </w:p>
        </w:tc>
        <w:tc>
          <w:tcPr>
            <w:tcW w:w="70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Calendar 1999:   $14.3  Million</w:t>
            </w:r>
          </w:p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 xml:space="preserve">Calendar 2000:   $67.7  Million </w:t>
            </w:r>
            <w:r>
              <w:rPr>
                <w:rFonts w:eastAsia="Courier New" w:cs="Courier New" w:ascii="Courier New" w:hAnsi="Courier New"/>
                <w:b/>
                <w:bCs/>
              </w:rPr>
              <w:t>(470% Growth)</w:t>
            </w:r>
          </w:p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Calendar 2001:   $100.0 Million (Projected)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Revenue Streams</w:t>
            </w:r>
          </w:p>
        </w:tc>
        <w:tc>
          <w:tcPr>
            <w:tcW w:w="70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96% - e-commerce consulting &amp; Integration</w:t>
            </w:r>
          </w:p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 xml:space="preserve"> </w:t>
            </w:r>
            <w:r>
              <w:rPr>
                <w:rFonts w:eastAsia="Courier New" w:cs="Courier New" w:ascii="Courier New" w:hAnsi="Courier New"/>
              </w:rPr>
              <w:t>4% - Others</w:t>
            </w:r>
          </w:p>
        </w:tc>
      </w:tr>
      <w:tr>
        <w:trPr>
          <w:trHeight w:val="65" w:hRule="atLeast"/>
        </w:trPr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eastAsia="Courier New" w:cs="Courier New" w:ascii="Courier New" w:hAnsi="Courier New"/>
                <w:sz w:val="24"/>
                <w:szCs w:val="24"/>
              </w:rPr>
            </w:r>
          </w:p>
        </w:tc>
        <w:tc>
          <w:tcPr>
            <w:tcW w:w="70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eastAsia="Courier New" w:cs="Courier New" w:ascii="Courier New" w:hAnsi="Courier New"/>
                <w:sz w:val="24"/>
                <w:szCs w:val="24"/>
              </w:rPr>
            </w:r>
          </w:p>
        </w:tc>
        <w:tc>
          <w:tcPr>
            <w:tcW w:w="70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Primary Market – Current Offerings</w:t>
            </w:r>
          </w:p>
        </w:tc>
        <w:tc>
          <w:tcPr>
            <w:tcW w:w="70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End-to-end e-commerce consulting &amp; integration services with key competencies in the following areas: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720" w:start="1080" w:end="0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eMarketplaces/ Digital Exchanges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720" w:start="1080" w:end="0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Customer Relationship Management (CRM)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720" w:start="1080" w:end="0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B2B Integration &amp; Enterprise Application Integration (EAI)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720" w:start="1080" w:end="0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Content Management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720" w:start="1080" w:end="0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Wireless Technologies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720" w:start="1080" w:end="0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Security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left" w:pos="720" w:leader="none"/>
              </w:tabs>
              <w:ind w:hanging="0" w:start="0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ind w:hanging="360" w:start="360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Additional Offerings</w:t>
            </w:r>
          </w:p>
        </w:tc>
        <w:tc>
          <w:tcPr>
            <w:tcW w:w="70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720" w:start="1080" w:end="0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Application Development, QA, &amp; Product Co Development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720" w:start="1080" w:end="0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Client Server Applications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720" w:start="1080" w:end="0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Re-engineering, Migration &amp; Maintenance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ind w:hanging="360" w:start="360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 xml:space="preserve">Planned Offerings – Future </w:t>
            </w:r>
          </w:p>
        </w:tc>
        <w:tc>
          <w:tcPr>
            <w:tcW w:w="70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720" w:start="1080" w:end="0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E-commerce Strategy Services (Industry Specific)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ind w:hanging="360" w:start="360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Customer Base</w:t>
            </w:r>
          </w:p>
        </w:tc>
        <w:tc>
          <w:tcPr>
            <w:tcW w:w="70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 xml:space="preserve">More than 120 customers (Exchange Specific); e2Open, Forest Express, American Petroleum Exchange, Chevron/RMX, Httprint, ICS - Foodone, Trading Cars, Winery Exchange, Mutus, Efidex… 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Benefits – Value Proposition Consulting</w:t>
            </w:r>
          </w:p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Partner</w:t>
            </w:r>
          </w:p>
        </w:tc>
        <w:tc>
          <w:tcPr>
            <w:tcW w:w="70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720" w:start="1080" w:end="0"/>
              <w:rPr/>
            </w:pPr>
            <w:r>
              <w:rPr>
                <w:rFonts w:eastAsia="Courier New" w:cs="Courier New" w:ascii="Courier New" w:hAnsi="Courier New"/>
                <w:b/>
                <w:bCs/>
              </w:rPr>
              <w:t>E-Commerce Focus</w:t>
            </w:r>
            <w:r>
              <w:rPr>
                <w:rFonts w:eastAsia="Courier New" w:cs="Courier New" w:ascii="Courier New" w:hAnsi="Courier New"/>
              </w:rPr>
              <w:t>: Complete end-to-end e-commerce consulting &amp; integration services with main focus on Digital Exchanges.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720" w:start="1080" w:end="0"/>
              <w:rPr/>
            </w:pPr>
            <w:r>
              <w:rPr>
                <w:rFonts w:eastAsia="Courier New" w:cs="Courier New" w:ascii="Courier New" w:hAnsi="Courier New"/>
                <w:b/>
                <w:bCs/>
              </w:rPr>
              <w:t>Domain Knowledge</w:t>
            </w:r>
            <w:r>
              <w:rPr>
                <w:rFonts w:eastAsia="Courier New" w:cs="Courier New" w:ascii="Courier New" w:hAnsi="Courier New"/>
              </w:rPr>
              <w:t>: In-depth understanding on eMarketplace processes and technology challenges.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720" w:start="1080" w:end="0"/>
              <w:rPr/>
            </w:pPr>
            <w:r>
              <w:rPr>
                <w:rFonts w:eastAsia="Courier New" w:cs="Courier New" w:ascii="Courier New" w:hAnsi="Courier New"/>
                <w:b/>
                <w:bCs/>
              </w:rPr>
              <w:t>Large competencies</w:t>
            </w:r>
            <w:r>
              <w:rPr>
                <w:rFonts w:eastAsia="Courier New" w:cs="Courier New" w:ascii="Courier New" w:hAnsi="Courier New"/>
              </w:rPr>
              <w:t>: Technology Partnerships with leading vendors in all e-commerce domains.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720" w:start="1080" w:end="0"/>
              <w:rPr/>
            </w:pPr>
            <w:r>
              <w:rPr>
                <w:rFonts w:eastAsia="Courier New" w:cs="Courier New" w:ascii="Courier New" w:hAnsi="Courier New"/>
                <w:b/>
                <w:bCs/>
              </w:rPr>
              <w:t>Established Credentials</w:t>
            </w:r>
            <w:r>
              <w:rPr>
                <w:rFonts w:eastAsia="Courier New" w:cs="Courier New" w:ascii="Courier New" w:hAnsi="Courier New"/>
              </w:rPr>
              <w:t>: Implementation &amp; customization experience for deploying key exchanges (Currently 30+ Exchanges developed…)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360" w:start="1080" w:end="0"/>
              <w:rPr/>
            </w:pPr>
            <w:r>
              <w:rPr>
                <w:rFonts w:eastAsia="Courier New" w:cs="Courier New" w:ascii="Courier New" w:hAnsi="Courier New"/>
                <w:b/>
                <w:bCs/>
              </w:rPr>
              <w:t>Cost effective deployment</w:t>
            </w:r>
            <w:r>
              <w:rPr>
                <w:rFonts w:eastAsia="Courier New" w:cs="Courier New" w:ascii="Courier New" w:hAnsi="Courier New"/>
              </w:rPr>
              <w:t>: Unique blend of On-site (For Development &amp; Integration work)and off-shore development centers in India (For cost effective maintainence, bug tracking/fixing &amp; QA)</w:t>
            </w:r>
          </w:p>
          <w:p>
            <w:pPr>
              <w:pStyle w:val="Normal"/>
              <w:ind w:start="360" w:end="0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eastAsia="Courier New" w:cs="Courier New" w:ascii="Courier New" w:hAnsi="Courier New"/>
                <w:sz w:val="24"/>
                <w:szCs w:val="24"/>
              </w:rPr>
            </w:r>
          </w:p>
        </w:tc>
        <w:tc>
          <w:tcPr>
            <w:tcW w:w="70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Key Competitors</w:t>
            </w:r>
          </w:p>
        </w:tc>
        <w:tc>
          <w:tcPr>
            <w:tcW w:w="70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720" w:start="1080" w:end="0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Big 5 Consulting firms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720" w:start="1080" w:end="0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IBM Global Services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360" w:start="1080" w:end="0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CSC</w:t>
            </w:r>
          </w:p>
          <w:p>
            <w:pPr>
              <w:pStyle w:val="Normal"/>
              <w:ind w:start="360" w:end="0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Competitive Advantages</w:t>
            </w:r>
          </w:p>
        </w:tc>
        <w:tc>
          <w:tcPr>
            <w:tcW w:w="70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720" w:start="1080" w:end="0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 xml:space="preserve">Faster Execution 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720" w:start="1080" w:end="0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Flexible approach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720" w:start="1080" w:end="0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Cost Effectiveness (Price/Performance)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360" w:end="0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ind w:hanging="360" w:start="360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Primary Challenges</w:t>
            </w:r>
          </w:p>
        </w:tc>
        <w:tc>
          <w:tcPr>
            <w:tcW w:w="70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720" w:start="1080" w:end="0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Positioning as a leader in designing &amp; deploying Digital Exchanges. This is still a market perceived to be dominated by the Big 5 Consulting firms.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360" w:end="0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ind w:hanging="360" w:start="360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References</w:t>
            </w:r>
          </w:p>
        </w:tc>
        <w:tc>
          <w:tcPr>
            <w:tcW w:w="70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</w:r>
          </w:p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All exchanges developed to date. Largest public marketplaces being: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720" w:start="1080" w:end="0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ForestExpress, Atlanta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720" w:start="1080" w:end="0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e2Open, California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360" w:start="1080" w:end="0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Chevron/RMX, California</w:t>
            </w:r>
          </w:p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Investor Base</w:t>
            </w:r>
          </w:p>
        </w:tc>
        <w:tc>
          <w:tcPr>
            <w:tcW w:w="70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720" w:start="1080" w:end="0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Goldman Sachs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360" w:start="1080" w:end="0"/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  <w:t>Walden International</w:t>
            </w:r>
          </w:p>
          <w:p>
            <w:pPr>
              <w:pStyle w:val="Normal"/>
              <w:tabs>
                <w:tab w:val="left" w:pos="720" w:leader="none"/>
              </w:tabs>
              <w:rPr>
                <w:rFonts w:ascii="Courier New" w:hAnsi="Courier New" w:eastAsia="Courier New" w:cs="Courier New"/>
              </w:rPr>
            </w:pPr>
            <w:r>
              <w:rPr>
                <w:rFonts w:eastAsia="Courier New" w:cs="Courier New" w:ascii="Courier New" w:hAnsi="Courier New"/>
              </w:rPr>
            </w:r>
          </w:p>
        </w:tc>
      </w:tr>
    </w:tbl>
    <w:p>
      <w:pPr>
        <w:pStyle w:val="Normal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1"/>
    <w:family w:val="moder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Arial" w:hAnsi="Arial" w:eastAsia="Arial" w:cs="Arial"/>
        <w:b/>
        <w:bCs/>
        <w:sz w:val="28"/>
        <w:szCs w:val="28"/>
      </w:rPr>
    </w:pPr>
    <w:r>
      <w:rPr>
        <w:rFonts w:eastAsia="Arial" w:cs="Arial" w:ascii="Arial" w:hAnsi="Arial"/>
        <w:b/>
        <w:bCs/>
        <w:sz w:val="28"/>
        <w:szCs w:val="28"/>
      </w:rPr>
      <w:t xml:space="preserve">Company Profile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decimal"/>
      <w:lvlText w:val="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eastAsia="Arial" w:cs="Arial"/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rFonts w:ascii="Arial" w:hAnsi="Arial" w:eastAsia="Arial" w:cs="Arial"/>
      <w:b/>
      <w:bCs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qFormat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2001-04-09T21:07:00Z</dcterms:created>
  <dc:creator>Arvind Ramanathan</dc:creator>
  <dc:description/>
  <dc:language>en-CA</dc:language>
  <cp:lastModifiedBy>aramanathan</cp:lastModifiedBy>
  <cp:lastPrinted>2001-04-02T16:30:00Z</cp:lastPrinted>
  <dcterms:modified xsi:type="dcterms:W3CDTF">2001-04-09T21:07:00Z</dcterms:modified>
  <cp:revision>2</cp:revision>
  <dc:subject/>
  <dc:title>Company Name</dc:title>
</cp:coreProperties>
</file>