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TECHNICAL REVIEW AND EVALUATION</w:t>
      </w:r>
    </w:p>
    <w:p>
      <w:pPr>
        <w:pStyle w:val="Normal"/>
        <w:jc w:val="center"/>
        <w:rPr>
          <w:b/>
          <w:bCs/>
          <w:sz w:val="22"/>
          <w:szCs w:val="22"/>
        </w:rPr>
      </w:pPr>
      <w:r>
        <w:rPr>
          <w:b/>
          <w:bCs/>
          <w:sz w:val="22"/>
          <w:szCs w:val="22"/>
        </w:rPr>
        <w:t xml:space="preserve">OF APPLICATION FOR </w:t>
      </w:r>
    </w:p>
    <w:p>
      <w:pPr>
        <w:pStyle w:val="Normal"/>
        <w:jc w:val="center"/>
        <w:rPr>
          <w:b/>
          <w:bCs/>
          <w:sz w:val="22"/>
          <w:szCs w:val="22"/>
        </w:rPr>
      </w:pPr>
      <w:r>
        <w:rPr>
          <w:b/>
          <w:bCs/>
          <w:sz w:val="22"/>
          <w:szCs w:val="22"/>
        </w:rPr>
        <w:t>SIGNIFICANT REVISION PERMIT NO. 1001602</w:t>
      </w:r>
    </w:p>
    <w:p>
      <w:pPr>
        <w:pStyle w:val="Normal"/>
        <w:jc w:val="center"/>
        <w:rPr>
          <w:b/>
          <w:bCs/>
          <w:sz w:val="22"/>
          <w:szCs w:val="22"/>
        </w:rPr>
      </w:pPr>
      <w:r>
        <w:rPr>
          <w:b/>
          <w:bCs/>
          <w:sz w:val="22"/>
          <w:szCs w:val="22"/>
        </w:rPr>
        <w:t>TRANSWESTERN PIPELINE COMPANY</w:t>
      </w:r>
    </w:p>
    <w:p>
      <w:pPr>
        <w:pStyle w:val="Normal"/>
        <w:jc w:val="center"/>
        <w:rPr>
          <w:sz w:val="22"/>
          <w:szCs w:val="22"/>
        </w:rPr>
      </w:pPr>
      <w:r>
        <w:rPr>
          <w:b/>
          <w:bCs/>
          <w:sz w:val="22"/>
          <w:szCs w:val="22"/>
        </w:rPr>
        <w:t>FLAGSTAFF COMPRESSOR STATION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INTRODUCTION</w:t>
      </w:r>
    </w:p>
    <w:p>
      <w:pPr>
        <w:pStyle w:val="Normal"/>
        <w:ind w:start="720" w:end="0"/>
        <w:jc w:val="both"/>
        <w:rPr>
          <w:sz w:val="24"/>
        </w:rPr>
      </w:pPr>
      <w:r>
        <w:rPr>
          <w:sz w:val="24"/>
        </w:rPr>
      </w:r>
    </w:p>
    <w:p>
      <w:pPr>
        <w:pStyle w:val="Normal"/>
        <w:ind w:start="720" w:end="0"/>
        <w:jc w:val="both"/>
        <w:rPr>
          <w:sz w:val="22"/>
          <w:szCs w:val="22"/>
        </w:rPr>
      </w:pPr>
      <w:r>
        <w:rPr>
          <w:sz w:val="22"/>
          <w:szCs w:val="22"/>
        </w:rPr>
        <w:t>This Significant Permit Revision is issued to the Flagstaff Compressor Station, which is operated by the Transwestern Pipeline Company. The station is located 3 miles west of Flagstaff in Coconino County, Arizona. The Transwestern Pipeline Company, the Permittee, provides natural gas transportation services for natural gas suppliers, and owns and operates a large natural gas pipeline network.  The Flagstaff Compressor Station is one of several such stations that provide natural gas compression to the pipeline network.</w:t>
      </w:r>
    </w:p>
    <w:p>
      <w:pPr>
        <w:pStyle w:val="Normal"/>
        <w:jc w:val="both"/>
        <w:rPr>
          <w:sz w:val="22"/>
          <w:szCs w:val="22"/>
        </w:rPr>
      </w:pPr>
      <w:r>
        <w:rPr>
          <w:sz w:val="22"/>
          <w:szCs w:val="22"/>
        </w:rPr>
      </w:r>
    </w:p>
    <w:p>
      <w:pPr>
        <w:pStyle w:val="Level2"/>
        <w:numPr>
          <w:ilvl w:val="1"/>
          <w:numId w:val="1"/>
        </w:numPr>
        <w:tabs>
          <w:tab w:val="left" w:pos="-1440" w:leader="none"/>
          <w:tab w:val="left" w:pos="1440" w:leader="none"/>
        </w:tabs>
        <w:jc w:val="both"/>
        <w:rPr>
          <w:sz w:val="24"/>
        </w:rPr>
      </w:pPr>
      <w:r>
        <w:rPr>
          <w:sz w:val="24"/>
        </w:rPr>
        <w:t>Company Information</w:t>
      </w:r>
    </w:p>
    <w:p>
      <w:pPr>
        <w:pStyle w:val="Normal"/>
        <w:jc w:val="both"/>
        <w:rPr>
          <w:sz w:val="24"/>
        </w:rPr>
      </w:pPr>
      <w:r>
        <w:rPr>
          <w:sz w:val="24"/>
        </w:rPr>
      </w:r>
    </w:p>
    <w:p>
      <w:pPr>
        <w:pStyle w:val="Normal"/>
        <w:tabs>
          <w:tab w:val="clear" w:pos="720"/>
          <w:tab w:val="left" w:pos="-1440" w:leader="none"/>
        </w:tabs>
        <w:ind w:hanging="2160" w:start="3600" w:end="0"/>
        <w:jc w:val="both"/>
        <w:rPr>
          <w:sz w:val="24"/>
        </w:rPr>
      </w:pPr>
      <w:r>
        <w:rPr>
          <w:sz w:val="24"/>
        </w:rPr>
        <w:t>Facility Name:</w:t>
        <w:tab/>
        <w:tab/>
        <w:t>Transwestern Pipeline Company, Flagstaff Compressor Station</w:t>
      </w:r>
    </w:p>
    <w:p>
      <w:pPr>
        <w:pStyle w:val="Normal"/>
        <w:tabs>
          <w:tab w:val="clear" w:pos="720"/>
          <w:tab w:val="left" w:pos="-1440" w:leader="none"/>
        </w:tabs>
        <w:ind w:hanging="2160" w:start="3600" w:end="0"/>
        <w:jc w:val="both"/>
        <w:rPr>
          <w:sz w:val="24"/>
        </w:rPr>
      </w:pPr>
      <w:r>
        <w:rPr>
          <w:sz w:val="24"/>
        </w:rPr>
        <w:t>Mailing Address:</w:t>
        <w:tab/>
        <w:t>P.O. Box 1188</w:t>
      </w:r>
    </w:p>
    <w:p>
      <w:pPr>
        <w:pStyle w:val="Normal"/>
        <w:ind w:start="3600" w:end="0"/>
        <w:jc w:val="both"/>
        <w:rPr>
          <w:sz w:val="24"/>
        </w:rPr>
      </w:pPr>
      <w:r>
        <w:rPr>
          <w:sz w:val="24"/>
        </w:rPr>
        <w:t>Houston, TX 77251</w:t>
      </w:r>
    </w:p>
    <w:p>
      <w:pPr>
        <w:pStyle w:val="Normal"/>
        <w:tabs>
          <w:tab w:val="clear" w:pos="720"/>
          <w:tab w:val="left" w:pos="-1440" w:leader="none"/>
        </w:tabs>
        <w:ind w:hanging="2160" w:start="3600" w:end="0"/>
        <w:jc w:val="both"/>
        <w:rPr>
          <w:sz w:val="24"/>
        </w:rPr>
      </w:pPr>
      <w:r>
        <w:rPr>
          <w:sz w:val="24"/>
        </w:rPr>
        <w:t>Facility Address:</w:t>
        <w:tab/>
        <w:t>3 miles west of Flagstaff</w:t>
      </w:r>
    </w:p>
    <w:p>
      <w:pPr>
        <w:pStyle w:val="Normal"/>
        <w:ind w:start="3600" w:end="0"/>
        <w:jc w:val="both"/>
        <w:rPr>
          <w:sz w:val="24"/>
        </w:rPr>
      </w:pPr>
      <w:r>
        <w:rPr>
          <w:sz w:val="24"/>
        </w:rPr>
        <w:t>Coconino County, AZ 86002</w:t>
      </w:r>
    </w:p>
    <w:p>
      <w:pPr>
        <w:pStyle w:val="Normal"/>
        <w:ind w:start="2160" w:end="0"/>
        <w:jc w:val="both"/>
        <w:rPr>
          <w:sz w:val="24"/>
        </w:rPr>
      </w:pPr>
      <w:r>
        <w:rPr>
          <w:sz w:val="24"/>
        </w:rPr>
      </w:r>
    </w:p>
    <w:p>
      <w:pPr>
        <w:pStyle w:val="Level2"/>
        <w:numPr>
          <w:ilvl w:val="1"/>
          <w:numId w:val="1"/>
        </w:numPr>
        <w:tabs>
          <w:tab w:val="left" w:pos="-1440" w:leader="none"/>
          <w:tab w:val="left" w:pos="1440" w:leader="none"/>
        </w:tabs>
        <w:jc w:val="both"/>
        <w:rPr>
          <w:sz w:val="24"/>
        </w:rPr>
      </w:pPr>
      <w:r>
        <w:rPr>
          <w:sz w:val="24"/>
        </w:rPr>
        <w:t>Attainment Classification</w:t>
      </w:r>
    </w:p>
    <w:p>
      <w:pPr>
        <w:pStyle w:val="Normal"/>
        <w:jc w:val="both"/>
        <w:rPr>
          <w:sz w:val="24"/>
        </w:rPr>
      </w:pPr>
      <w:r>
        <w:rPr>
          <w:sz w:val="24"/>
        </w:rPr>
      </w:r>
    </w:p>
    <w:p>
      <w:pPr>
        <w:pStyle w:val="Normal"/>
        <w:ind w:start="1440" w:end="0"/>
        <w:jc w:val="both"/>
        <w:rPr>
          <w:sz w:val="24"/>
        </w:rPr>
      </w:pPr>
      <w:r>
        <w:rPr>
          <w:sz w:val="24"/>
        </w:rPr>
        <w:t>The source is located in an area that is in attainment for all criteria pollutants.</w:t>
      </w:r>
    </w:p>
    <w:p>
      <w:pPr>
        <w:pStyle w:val="Normal"/>
        <w:ind w:start="1440" w:end="0"/>
        <w:jc w:val="both"/>
        <w:rPr>
          <w:sz w:val="24"/>
        </w:rPr>
      </w:pPr>
      <w:r>
        <w:rPr>
          <w:sz w:val="24"/>
        </w:rPr>
      </w:r>
    </w:p>
    <w:p>
      <w:pPr>
        <w:pStyle w:val="Level1"/>
        <w:numPr>
          <w:ilvl w:val="0"/>
          <w:numId w:val="1"/>
        </w:numPr>
        <w:tabs>
          <w:tab w:val="left" w:pos="-1440" w:leader="none"/>
          <w:tab w:val="left" w:pos="720" w:leader="none"/>
        </w:tabs>
        <w:jc w:val="both"/>
        <w:rPr>
          <w:sz w:val="24"/>
        </w:rPr>
      </w:pPr>
      <w:r>
        <w:rPr>
          <w:sz w:val="24"/>
        </w:rPr>
        <w:t>PROJECT DESCRIPTION</w:t>
      </w:r>
    </w:p>
    <w:p>
      <w:pPr>
        <w:pStyle w:val="Normal"/>
        <w:jc w:val="both"/>
        <w:rPr>
          <w:sz w:val="24"/>
        </w:rPr>
      </w:pPr>
      <w:r>
        <w:rPr>
          <w:sz w:val="24"/>
        </w:rPr>
      </w:r>
    </w:p>
    <w:p>
      <w:pPr>
        <w:pStyle w:val="Normal"/>
        <w:ind w:start="720" w:end="0"/>
        <w:jc w:val="both"/>
        <w:rPr>
          <w:sz w:val="22"/>
          <w:szCs w:val="22"/>
        </w:rPr>
      </w:pPr>
      <w:r>
        <w:rPr>
          <w:sz w:val="22"/>
          <w:szCs w:val="22"/>
        </w:rPr>
        <w:t>As part of the Red Rock Expansion project, the Permittee plans to increase the compression capacity of its pipeline by replacing the compressor engines in four compressor stations in northern Arizona with a single General Electric LM2500 gas turbine at each station. Two of the stations, Kingman and Flagstaff, are under the jurisdiction of the Arizona Department of Environmental Quality, while the other two, Leupp and Klagetoh, are under the jurisdiction of EPA Region IX.</w:t>
      </w:r>
    </w:p>
    <w:p>
      <w:pPr>
        <w:pStyle w:val="Normal"/>
        <w:jc w:val="both"/>
        <w:rPr>
          <w:sz w:val="22"/>
          <w:szCs w:val="22"/>
        </w:rPr>
      </w:pPr>
      <w:r>
        <w:rPr>
          <w:sz w:val="22"/>
          <w:szCs w:val="22"/>
        </w:rPr>
      </w:r>
    </w:p>
    <w:p>
      <w:pPr>
        <w:pStyle w:val="Normal"/>
        <w:ind w:start="720" w:end="0"/>
        <w:jc w:val="both"/>
        <w:rPr/>
      </w:pPr>
      <w:r>
        <w:rPr>
          <w:sz w:val="22"/>
          <w:szCs w:val="22"/>
        </w:rPr>
        <w:t xml:space="preserve">The operation of three 4000 hp Ingersoll-Rand 616KVT gas-fired compressor engines and two 451 hp Waukesha LRZ3520GU generator engines are permitted by Title V permit 1000155 that was issued on April 16, 1998. These units were originally installed in 1966 and the facility itself is </w:t>
      </w:r>
      <w:r>
        <w:rPr>
          <w:rFonts w:cs="WP TypographicSymbols" w:ascii="WP TypographicSymbols" w:hAnsi="WP TypographicSymbols"/>
          <w:sz w:val="22"/>
          <w:szCs w:val="22"/>
        </w:rPr>
        <w:t>A</w:t>
      </w:r>
      <w:r>
        <w:rPr>
          <w:sz w:val="22"/>
          <w:szCs w:val="22"/>
        </w:rPr>
        <w:t>grandfathered</w:t>
      </w:r>
      <w:r>
        <w:rPr>
          <w:rFonts w:cs="WP TypographicSymbols" w:ascii="WP TypographicSymbols" w:hAnsi="WP TypographicSymbols"/>
          <w:sz w:val="22"/>
          <w:szCs w:val="22"/>
        </w:rPr>
        <w:t>@</w:t>
      </w:r>
      <w:r>
        <w:rPr>
          <w:sz w:val="22"/>
          <w:szCs w:val="22"/>
        </w:rPr>
        <w:t xml:space="preserve"> so that it is not subject to the Prevention of Significant Deterioration (PSD) program. No revisions have been carried out since the units were first installed.</w:t>
      </w:r>
    </w:p>
    <w:p>
      <w:pPr>
        <w:pStyle w:val="Normal"/>
        <w:jc w:val="both"/>
        <w:rPr>
          <w:sz w:val="22"/>
          <w:szCs w:val="22"/>
        </w:rPr>
      </w:pPr>
      <w:r>
        <w:rPr>
          <w:sz w:val="22"/>
          <w:szCs w:val="22"/>
        </w:rPr>
      </w:r>
    </w:p>
    <w:p>
      <w:pPr>
        <w:pStyle w:val="Normal"/>
        <w:ind w:start="720" w:end="0"/>
        <w:jc w:val="both"/>
        <w:rPr/>
      </w:pPr>
      <w:r>
        <w:rPr>
          <w:rFonts w:cs="GoudyOlSt BT" w:ascii="GoudyOlSt BT" w:hAnsi="GoudyOlSt BT"/>
          <w:sz w:val="22"/>
          <w:szCs w:val="22"/>
        </w:rPr>
        <w:t>The General Electric LM2500 gas turbine is site rated at 30,565-shaft horse power (shp) at 60</w:t>
      </w:r>
      <w:r>
        <w:rPr>
          <w:rFonts w:cs="GoudyOlSt BT" w:ascii="GoudyOlSt BT" w:hAnsi="GoudyOlSt BT"/>
          <w:sz w:val="22"/>
          <w:szCs w:val="22"/>
          <w:vertAlign w:val="superscript"/>
        </w:rPr>
        <w:t>0</w:t>
      </w:r>
      <w:r>
        <w:rPr>
          <w:rFonts w:cs="GoudyOlSt BT" w:ascii="GoudyOlSt BT" w:hAnsi="GoudyOlSt BT"/>
          <w:sz w:val="22"/>
          <w:szCs w:val="22"/>
        </w:rPr>
        <w:t xml:space="preserve">F under base load conditions. This turbine will replace the three existing </w:t>
      </w:r>
      <w:r>
        <w:rPr>
          <w:sz w:val="22"/>
          <w:szCs w:val="22"/>
        </w:rPr>
        <w:t>Ingersoll-Rand 616KVT compressor engines</w:t>
      </w:r>
      <w:r>
        <w:rPr>
          <w:rFonts w:cs="GoudyOlSt BT" w:ascii="GoudyOlSt BT" w:hAnsi="GoudyOlSt BT"/>
          <w:sz w:val="22"/>
          <w:szCs w:val="22"/>
        </w:rPr>
        <w:t>. For emergency purposes, two 526 hp Caterpillar G3508 natural gas generator engines will replace the two existing Waukesha generator engines.</w:t>
      </w:r>
      <w:r>
        <w:rPr>
          <w:sz w:val="22"/>
          <w:szCs w:val="22"/>
        </w:rPr>
        <w:t xml:space="preserve"> However, only one of the Caterpillar generators will be operated at any given time. </w:t>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ind w:start="720" w:end="0"/>
        <w:jc w:val="both"/>
        <w:rPr>
          <w:sz w:val="22"/>
          <w:szCs w:val="22"/>
        </w:rPr>
      </w:pPr>
      <w:r>
        <w:rPr>
          <w:sz w:val="22"/>
          <w:szCs w:val="22"/>
        </w:rPr>
        <w:t>The Permittee  has also requested a six month alternative operating scenario to allow for backup in case of startup problems with the turbine. During this scenario, the existing compressor engines would serve as backups to the new turbine and will be permanently shutdown six months after the startup date of the turbine. The Permittee is also requesting the ability to use one of the two existing Waukesha generators with one of the two new Caterpillar generators.</w:t>
      </w:r>
    </w:p>
    <w:p>
      <w:pPr>
        <w:pStyle w:val="Normal"/>
        <w:jc w:val="both"/>
        <w:rPr>
          <w:sz w:val="22"/>
          <w:szCs w:val="22"/>
        </w:rPr>
      </w:pPr>
      <w:r>
        <w:rPr>
          <w:sz w:val="22"/>
          <w:szCs w:val="22"/>
        </w:rPr>
      </w:r>
    </w:p>
    <w:p>
      <w:pPr>
        <w:pStyle w:val="Normal"/>
        <w:ind w:start="720" w:end="0"/>
        <w:jc w:val="both"/>
        <w:rPr/>
      </w:pPr>
      <w:r>
        <w:rPr>
          <w:sz w:val="22"/>
          <w:szCs w:val="22"/>
        </w:rPr>
        <w:t xml:space="preserve">The PSD regulations, Arizona Administrative Code (A.A.C) R18-2-401 </w:t>
      </w:r>
      <w:r>
        <w:rPr>
          <w:i/>
          <w:iCs/>
          <w:sz w:val="22"/>
          <w:szCs w:val="22"/>
        </w:rPr>
        <w:t>et. seq</w:t>
      </w:r>
      <w:r>
        <w:rPr>
          <w:sz w:val="22"/>
          <w:szCs w:val="22"/>
        </w:rPr>
        <w:t xml:space="preserve">, will not be applicable to the proposed modification if it is shown that the difference between the emissions from the new equipment and the decrease in emissions from the removal of the existing equipment is below the significance levels defined in A.A.C. R18-2-104.a. </w:t>
      </w:r>
    </w:p>
    <w:p>
      <w:pPr>
        <w:pStyle w:val="Normal"/>
        <w:jc w:val="both"/>
        <w:rPr>
          <w:sz w:val="22"/>
          <w:szCs w:val="22"/>
        </w:rPr>
      </w:pPr>
      <w:r>
        <w:rPr>
          <w:sz w:val="22"/>
          <w:szCs w:val="22"/>
        </w:rPr>
      </w:r>
    </w:p>
    <w:p>
      <w:pPr>
        <w:pStyle w:val="Normal"/>
        <w:ind w:start="720" w:end="0"/>
        <w:jc w:val="both"/>
        <w:rPr>
          <w:sz w:val="22"/>
          <w:szCs w:val="22"/>
        </w:rPr>
      </w:pPr>
      <w:r>
        <w:rPr>
          <w:sz w:val="22"/>
          <w:szCs w:val="22"/>
        </w:rPr>
        <w:t>As will be discussed in Section III below, the Permittee has demonstrated in their emissions netting exercise that the difference between the emissions from the new project and the actual emissions from the 2-year contemporaneous period are below significance levels. The project, therefore, qualifies as a Significant Revision according to the provisions of A.A.C. R18-2-320.</w:t>
      </w:r>
    </w:p>
    <w:p>
      <w:pPr>
        <w:pStyle w:val="Normal"/>
        <w:jc w:val="both"/>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EMISSIONS CALCULATIONS</w:t>
      </w:r>
    </w:p>
    <w:p>
      <w:pPr>
        <w:pStyle w:val="Normal"/>
        <w:jc w:val="both"/>
        <w:rPr>
          <w:sz w:val="24"/>
        </w:rPr>
      </w:pPr>
      <w:r>
        <w:rPr>
          <w:sz w:val="24"/>
        </w:rPr>
      </w:r>
    </w:p>
    <w:p>
      <w:pPr>
        <w:pStyle w:val="Normal"/>
        <w:ind w:start="720" w:end="0"/>
        <w:jc w:val="both"/>
        <w:rPr/>
      </w:pPr>
      <w:r>
        <w:rPr>
          <w:sz w:val="24"/>
        </w:rPr>
        <w:t>Potential emissions from the new turbine and generator are shown in Table 3.1. The turbine calculations represent the worst case emissions that occur when the turbine is operated at 0</w:t>
      </w:r>
      <w:r>
        <w:rPr>
          <w:sz w:val="24"/>
          <w:vertAlign w:val="superscript"/>
        </w:rPr>
        <w:t>0</w:t>
      </w:r>
      <w:r>
        <w:rPr>
          <w:sz w:val="24"/>
        </w:rPr>
        <w:t xml:space="preserve">F at 64% of base load. Under these load conditions, emissions of both NOx and CO are 40 ppm. The emissions for NOx and CO that are shown in Table 3.1 are calculated from these concentrations, with a 15% safety factor built into the calculations </w:t>
      </w:r>
      <w:r>
        <w:rPr>
          <w:sz w:val="22"/>
          <w:szCs w:val="22"/>
        </w:rPr>
        <w:t xml:space="preserve">to account for temperature fluctuations. The generator emissions are calculated using a voluntarily accepted annual operating limit of 7000 hours. </w:t>
      </w:r>
    </w:p>
    <w:p>
      <w:pPr>
        <w:pStyle w:val="Normal"/>
        <w:jc w:val="both"/>
        <w:rPr>
          <w:sz w:val="22"/>
          <w:szCs w:val="22"/>
        </w:rPr>
      </w:pPr>
      <w:r>
        <w:rPr>
          <w:sz w:val="22"/>
          <w:szCs w:val="22"/>
        </w:rPr>
      </w:r>
    </w:p>
    <w:p>
      <w:pPr>
        <w:pStyle w:val="Normal"/>
        <w:jc w:val="both"/>
        <w:rPr>
          <w:sz w:val="22"/>
          <w:szCs w:val="22"/>
        </w:rPr>
      </w:pPr>
      <w:r>
        <w:rPr>
          <w:sz w:val="22"/>
          <w:szCs w:val="22"/>
        </w:rPr>
        <w:t>Table 3.1. Emissions from the proposed project.</w:t>
        <w:tab/>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204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 LM2500 Turbine</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127</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78</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223/224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G3508 Generator</w:t>
            </w:r>
            <w:r>
              <w:rPr>
                <w:sz w:val="22"/>
                <w:szCs w:val="22"/>
                <w:vertAlign w:val="superscript"/>
              </w:rPr>
              <w:t>3</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87</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214</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84</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r>
    </w:tbl>
    <w:p>
      <w:pPr>
        <w:pStyle w:val="Normal"/>
        <w:jc w:val="both"/>
        <w:rPr>
          <w:sz w:val="22"/>
          <w:szCs w:val="22"/>
        </w:rPr>
      </w:pPr>
      <w:r>
        <w:rPr>
          <w:sz w:val="22"/>
          <w:szCs w:val="22"/>
        </w:rPr>
        <w:t>All emissions in tons per year.</w:t>
      </w:r>
    </w:p>
    <w:p>
      <w:pPr>
        <w:pStyle w:val="Normal"/>
        <w:jc w:val="both"/>
        <w:rPr/>
      </w:pPr>
      <w:r>
        <w:rPr>
          <w:sz w:val="22"/>
          <w:szCs w:val="22"/>
        </w:rPr>
        <w:t>1- Calculated from manufacturer</w:t>
      </w:r>
      <w:r>
        <w:rPr>
          <w:rFonts w:cs="WP TypographicSymbols" w:ascii="WP TypographicSymbols" w:hAnsi="WP TypographicSymbols"/>
          <w:sz w:val="22"/>
          <w:szCs w:val="22"/>
        </w:rPr>
        <w:t>=</w:t>
      </w:r>
      <w:r>
        <w:rPr>
          <w:sz w:val="22"/>
          <w:szCs w:val="22"/>
        </w:rPr>
        <w:t>s guarantee</w:t>
      </w:r>
    </w:p>
    <w:p>
      <w:pPr>
        <w:pStyle w:val="Normal"/>
        <w:jc w:val="both"/>
        <w:rPr>
          <w:sz w:val="22"/>
          <w:szCs w:val="22"/>
        </w:rPr>
      </w:pPr>
      <w:r>
        <w:rPr>
          <w:sz w:val="22"/>
          <w:szCs w:val="22"/>
        </w:rPr>
        <w:t>2- Calculated from AP42 emission factors</w:t>
      </w:r>
    </w:p>
    <w:p>
      <w:pPr>
        <w:pStyle w:val="Normal"/>
        <w:jc w:val="both"/>
        <w:rPr>
          <w:sz w:val="22"/>
          <w:szCs w:val="22"/>
        </w:rPr>
      </w:pPr>
      <w:r>
        <w:rPr>
          <w:sz w:val="22"/>
          <w:szCs w:val="22"/>
        </w:rPr>
        <w:t>3- Generator will be operated for 7000 hours/year</w:t>
      </w:r>
    </w:p>
    <w:p>
      <w:pPr>
        <w:pStyle w:val="Normal"/>
        <w:jc w:val="both"/>
        <w:rPr>
          <w:sz w:val="22"/>
          <w:szCs w:val="22"/>
        </w:rPr>
      </w:pPr>
      <w:r>
        <w:rPr>
          <w:sz w:val="22"/>
          <w:szCs w:val="22"/>
        </w:rPr>
      </w:r>
    </w:p>
    <w:p>
      <w:pPr>
        <w:pStyle w:val="Normal"/>
        <w:ind w:start="720" w:end="0"/>
        <w:jc w:val="both"/>
        <w:rPr>
          <w:sz w:val="22"/>
          <w:szCs w:val="22"/>
        </w:rPr>
      </w:pPr>
      <w:r>
        <w:rPr>
          <w:sz w:val="22"/>
          <w:szCs w:val="22"/>
        </w:rPr>
        <w:t>Table 3.2 shows the average of the facility emissions for years 1999 and 2000, which represent actual emissions for the 2-year contemporaneous period. For NOx and CO, the emissions for 1999 and 2000 were calculated by multiplying the operating hours for each year with the lb/hr emissions rate measured during the performance test . For PM, AP42 emission factors were employed.</w:t>
      </w:r>
    </w:p>
    <w:p>
      <w:pPr>
        <w:pStyle w:val="Normal"/>
        <w:jc w:val="both"/>
        <w:rPr>
          <w:sz w:val="22"/>
          <w:szCs w:val="22"/>
        </w:rPr>
      </w:pPr>
      <w:r>
        <w:rPr>
          <w:sz w:val="22"/>
          <w:szCs w:val="22"/>
        </w:rPr>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jc w:val="both"/>
        <w:rPr>
          <w:sz w:val="22"/>
          <w:szCs w:val="22"/>
        </w:rPr>
      </w:pPr>
      <w:r>
        <w:rPr>
          <w:sz w:val="22"/>
          <w:szCs w:val="22"/>
        </w:rPr>
        <w:t>Table 3.2. Average of the actual emissions for years 1999 and 2000.</w:t>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439</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445</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42</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302</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48</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P5</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1203</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t>1- From emissions test conducted July 21-23, 1998</w:t>
      </w:r>
    </w:p>
    <w:p>
      <w:pPr>
        <w:pStyle w:val="Normal"/>
        <w:jc w:val="both"/>
        <w:rPr>
          <w:sz w:val="22"/>
          <w:szCs w:val="22"/>
        </w:rPr>
      </w:pPr>
      <w:r>
        <w:rPr>
          <w:sz w:val="22"/>
          <w:szCs w:val="22"/>
        </w:rPr>
        <w:t>2- From AP42 emission factors</w:t>
      </w:r>
    </w:p>
    <w:p>
      <w:pPr>
        <w:pStyle w:val="Normal"/>
        <w:jc w:val="both"/>
        <w:rPr>
          <w:sz w:val="22"/>
          <w:szCs w:val="22"/>
        </w:rPr>
      </w:pPr>
      <w:r>
        <w:rPr>
          <w:sz w:val="22"/>
          <w:szCs w:val="22"/>
        </w:rPr>
      </w:r>
    </w:p>
    <w:p>
      <w:pPr>
        <w:pStyle w:val="Normal"/>
        <w:jc w:val="both"/>
        <w:rPr>
          <w:sz w:val="22"/>
          <w:szCs w:val="22"/>
        </w:rPr>
      </w:pPr>
      <w:r>
        <w:rPr>
          <w:sz w:val="22"/>
          <w:szCs w:val="22"/>
        </w:rPr>
        <w:t>To demonstrate that the facility can net out of PSD review, it has to be shown that the difference between the proposed project and the average of the 2-year contemporaneous period is below significance levels. As shown in Table 3.3 below, emissions of all pollutants are below the significant rates established in A.A.C. R18-2-104.a.</w:t>
      </w:r>
    </w:p>
    <w:p>
      <w:pPr>
        <w:pStyle w:val="Normal"/>
        <w:jc w:val="both"/>
        <w:rPr>
          <w:sz w:val="22"/>
          <w:szCs w:val="22"/>
        </w:rPr>
      </w:pPr>
      <w:r>
        <w:rPr>
          <w:sz w:val="22"/>
          <w:szCs w:val="22"/>
        </w:rPr>
      </w:r>
    </w:p>
    <w:p>
      <w:pPr>
        <w:pStyle w:val="Normal"/>
        <w:jc w:val="both"/>
        <w:rPr>
          <w:sz w:val="22"/>
          <w:szCs w:val="22"/>
        </w:rPr>
      </w:pPr>
      <w:r>
        <w:rPr>
          <w:sz w:val="22"/>
          <w:szCs w:val="22"/>
        </w:rPr>
        <w:t>Table 3.3. Netting calculations.</w:t>
      </w:r>
    </w:p>
    <w:tbl>
      <w:tblPr>
        <w:tblW w:w="6930" w:type="dxa"/>
        <w:jc w:val="start"/>
        <w:tblInd w:w="120" w:type="dxa"/>
        <w:tblLayout w:type="fixed"/>
        <w:tblCellMar>
          <w:top w:w="0" w:type="dxa"/>
          <w:start w:w="120" w:type="dxa"/>
          <w:bottom w:w="0" w:type="dxa"/>
          <w:end w:w="120" w:type="dxa"/>
        </w:tblCellMar>
      </w:tblPr>
      <w:tblGrid>
        <w:gridCol w:w="2970"/>
        <w:gridCol w:w="810"/>
        <w:gridCol w:w="810"/>
        <w:gridCol w:w="810"/>
        <w:gridCol w:w="720"/>
        <w:gridCol w:w="810"/>
      </w:tblGrid>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Proposed Increase</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214</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Contemporaneous Decrease</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1203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Net Increase</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-989</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Significant Emission Rates, A.A.C. R18-2-104.a</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100</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IV. </w:t>
        <w:tab/>
        <w:t>ALTERNATIVE OPERATING SCENARIO</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ind w:start="720" w:end="0"/>
        <w:jc w:val="both"/>
        <w:rPr>
          <w:sz w:val="22"/>
          <w:szCs w:val="22"/>
        </w:rPr>
      </w:pPr>
      <w:r>
        <w:rPr>
          <w:sz w:val="22"/>
          <w:szCs w:val="22"/>
        </w:rPr>
        <w:t>The Permittee has requested a 6-month alternative operating scenario to allow for backup in case of startup problems with the turbine. During this scenario, the existing compressor engines would serve as backups to the new turbine in case of turbine startup problems and will be permanently shutdown six months after the startup date of the turbine. The Permittee is also requesting the ability to use one of the two existing Waukesha generators with one of the two new Caterpillar generators. The emissions that will result from operating the compressors and generator for 3100 hours each are shown in Table 4.1 below. The operating hour limitation is imposed so that the rolling 12-month total for NOx in the transition period does not exceed the sum of the past 2-year average and the significance level (1203 TPY + 40 TPY = 1243 TPY).</w:t>
      </w:r>
    </w:p>
    <w:p>
      <w:pPr>
        <w:pStyle w:val="Normal"/>
        <w:jc w:val="both"/>
        <w:rPr>
          <w:sz w:val="22"/>
          <w:szCs w:val="22"/>
        </w:rPr>
      </w:pPr>
      <w:r>
        <w:rPr>
          <w:sz w:val="22"/>
          <w:szCs w:val="22"/>
        </w:rPr>
      </w:r>
    </w:p>
    <w:p>
      <w:pPr>
        <w:pStyle w:val="Normal"/>
        <w:jc w:val="both"/>
        <w:rPr>
          <w:sz w:val="22"/>
          <w:szCs w:val="22"/>
        </w:rPr>
      </w:pPr>
      <w:r>
        <w:rPr>
          <w:sz w:val="22"/>
          <w:szCs w:val="22"/>
        </w:rPr>
        <w:t>Table 4.1. Emissions from alternative scenario</w:t>
        <w:tab/>
      </w:r>
    </w:p>
    <w:tbl>
      <w:tblPr>
        <w:tblW w:w="4770" w:type="dxa"/>
        <w:jc w:val="start"/>
        <w:tblInd w:w="120" w:type="dxa"/>
        <w:tblLayout w:type="fixed"/>
        <w:tblCellMar>
          <w:top w:w="0" w:type="dxa"/>
          <w:start w:w="120" w:type="dxa"/>
          <w:bottom w:w="0" w:type="dxa"/>
          <w:end w:w="120" w:type="dxa"/>
        </w:tblCellMar>
      </w:tblPr>
      <w:tblGrid>
        <w:gridCol w:w="990"/>
        <w:gridCol w:w="810"/>
        <w:gridCol w:w="720"/>
        <w:gridCol w:w="810"/>
        <w:gridCol w:w="720"/>
        <w:gridCol w:w="720"/>
      </w:tblGrid>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ID</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179.3</w:t>
            </w:r>
            <w:r>
              <w:rPr>
                <w:sz w:val="22"/>
                <w:szCs w:val="22"/>
                <w:vertAlign w:val="superscript"/>
              </w:rPr>
              <w:t>1</w:t>
            </w:r>
            <w:r>
              <w:rPr>
                <w:sz w:val="22"/>
                <w:szCs w:val="22"/>
              </w:rPr>
              <w:t xml:space="preserve"> </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17.5</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191.8</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18.0</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118.4</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18.8</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P4/P5</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6.5</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496.0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55.7</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2.8</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bl>
    <w:p>
      <w:pPr>
        <w:pStyle w:val="Normal"/>
        <w:jc w:val="both"/>
        <w:rPr>
          <w:sz w:val="22"/>
          <w:szCs w:val="22"/>
        </w:rPr>
      </w:pPr>
      <w:r>
        <w:rPr>
          <w:sz w:val="22"/>
          <w:szCs w:val="22"/>
        </w:rPr>
        <w:t>Emissions calculated for an operating time of 3100 hours each for compressors and generator</w:t>
      </w:r>
    </w:p>
    <w:p>
      <w:pPr>
        <w:pStyle w:val="Normal"/>
        <w:jc w:val="both"/>
        <w:rPr>
          <w:sz w:val="22"/>
          <w:szCs w:val="22"/>
        </w:rPr>
      </w:pPr>
      <w:r>
        <w:rPr>
          <w:sz w:val="22"/>
          <w:szCs w:val="22"/>
        </w:rPr>
        <w:t>All emissions in tons per year</w:t>
      </w:r>
    </w:p>
    <w:p>
      <w:pPr>
        <w:pStyle w:val="Normal"/>
        <w:jc w:val="both"/>
        <w:rPr>
          <w:sz w:val="22"/>
          <w:szCs w:val="22"/>
        </w:rPr>
      </w:pPr>
      <w:r>
        <w:rPr>
          <w:sz w:val="22"/>
          <w:szCs w:val="22"/>
        </w:rPr>
        <w:t>1- Calculated from lb/hr emissions test results.</w:t>
      </w:r>
    </w:p>
    <w:p>
      <w:pPr>
        <w:pStyle w:val="Normal"/>
        <w:jc w:val="both"/>
        <w:rPr>
          <w:sz w:val="22"/>
          <w:szCs w:val="22"/>
        </w:rPr>
      </w:pPr>
      <w:r>
        <w:rPr>
          <w:sz w:val="22"/>
          <w:szCs w:val="22"/>
        </w:rPr>
      </w:r>
    </w:p>
    <w:p>
      <w:pPr>
        <w:pStyle w:val="Normal"/>
        <w:ind w:start="720" w:end="0"/>
        <w:jc w:val="both"/>
        <w:rPr>
          <w:sz w:val="22"/>
          <w:szCs w:val="22"/>
        </w:rPr>
      </w:pPr>
      <w:r>
        <w:rPr>
          <w:sz w:val="22"/>
          <w:szCs w:val="22"/>
        </w:rPr>
        <w:t>The alternate scenario is captured in the following permit conditions: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Condition V.A.2: This condition ensures that the new turbine and existing compressor engines do not operate at the same time.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Condition V.A.3: This condition ensures that only one of the new generators operates concurrently with one of the existing generators.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C. </w:t>
        <w:tab/>
        <w:t xml:space="preserve">Condition V.B: This condition limits the operation P1, P2, P3, P4/P5 to 3100 hours in the 6-month transition period and ensures that PSD is not triggered. </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D. </w:t>
        <w:tab/>
        <w:t>Condition V.C: Enforcing the operational hours requirement shall be accomplished by maintaining a log of the hours of operation.</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 </w:t>
        <w:tab/>
        <w:t>APPLICABLE REQUIREMENTS AND EMISSION LIMITS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sz w:val="22"/>
          <w:szCs w:val="22"/>
        </w:rPr>
      </w:pPr>
      <w:r>
        <w:rPr>
          <w:sz w:val="22"/>
          <w:szCs w:val="22"/>
        </w:rPr>
        <w:t>40 CFR 60, Subpart GG, Standards of Performance for Stationary Gas Turbines, is applicable to the GE LM2500 turbine. The applicable requirements associated with this standard include the following:</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1. </w:t>
        <w:tab/>
        <w:t xml:space="preserve">Condition VI.A.1.a: This condition, according to </w:t>
      </w:r>
      <w:r>
        <w:rPr>
          <w:rFonts w:cs="WP TypographicSymbols" w:ascii="WP TypographicSymbols" w:hAnsi="WP TypographicSymbols"/>
          <w:sz w:val="22"/>
          <w:szCs w:val="22"/>
        </w:rPr>
        <w:t>'</w:t>
      </w:r>
      <w:r>
        <w:rPr>
          <w:sz w:val="22"/>
          <w:szCs w:val="22"/>
        </w:rPr>
        <w:t xml:space="preserve"> 60.332(a)(1), establishes a concentration limit for NOx at 81 ppmvd at 15% O2, assuming a fuel-bound nitrogen emission allowance of zero. This limit was calculated as follows:</w:t>
      </w:r>
    </w:p>
    <w:p>
      <w:pPr>
        <w:pStyle w:val="Normal"/>
        <w:ind w:start="1440" w:end="0"/>
        <w:jc w:val="both"/>
        <w:rPr>
          <w:sz w:val="22"/>
          <w:szCs w:val="22"/>
        </w:rPr>
      </w:pPr>
      <w:r>
        <w:rPr>
          <w:sz w:val="22"/>
          <w:szCs w:val="22"/>
        </w:rPr>
      </w:r>
    </w:p>
    <w:p>
      <w:pPr>
        <w:pStyle w:val="Normal"/>
        <w:tabs>
          <w:tab w:val="clear" w:pos="720"/>
          <w:tab w:val="left" w:pos="-1440" w:leader="none"/>
        </w:tabs>
        <w:ind w:hanging="2160" w:start="4320" w:end="0"/>
        <w:jc w:val="both"/>
        <w:rPr>
          <w:sz w:val="22"/>
          <w:szCs w:val="22"/>
        </w:rPr>
      </w:pPr>
      <w:r>
        <w:rPr>
          <w:sz w:val="22"/>
          <w:szCs w:val="22"/>
        </w:rPr>
        <w:t xml:space="preserve">Maximum heat rate = </w:t>
        <w:tab/>
        <w:t>9451 (Btu/hp-hr) @ 950F and 50% load x 1.055 (kJ/Btu) x 0.00134 (hp/W) = 13.36 (kJ/W-hr)</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2880" w:end="0"/>
        <w:jc w:val="both"/>
        <w:rPr>
          <w:sz w:val="22"/>
          <w:szCs w:val="22"/>
        </w:rPr>
      </w:pPr>
      <w:r>
        <w:rPr>
          <w:sz w:val="22"/>
          <w:szCs w:val="22"/>
        </w:rPr>
        <w:t>STD</w:t>
        <w:tab/>
        <w:t>= 0.0075(14.4)/13.36 + 0 = 0.0081 % by volume @ 15% O2 on a dry basis = 81 ppmvd</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2. </w:t>
        <w:tab/>
        <w:t>Condition VI.B.1: The Permittee has voluntarily accepted a CO concentration limit of 40 ppmvd at 15% O2, according to A.A.C.R18-2-306.01. This limit is based on a manufacturer</w:t>
      </w:r>
      <w:r>
        <w:rPr>
          <w:rFonts w:cs="WP TypographicSymbols" w:ascii="WP TypographicSymbols" w:hAnsi="WP TypographicSymbols"/>
          <w:sz w:val="22"/>
          <w:szCs w:val="22"/>
        </w:rPr>
        <w:t>=</w:t>
      </w:r>
      <w:r>
        <w:rPr>
          <w:sz w:val="22"/>
          <w:szCs w:val="22"/>
        </w:rPr>
        <w:t>s emission test under 64% load at 0</w:t>
      </w:r>
      <w:r>
        <w:rPr>
          <w:sz w:val="22"/>
          <w:szCs w:val="22"/>
          <w:vertAlign w:val="superscript"/>
        </w:rPr>
        <w:t>0</w:t>
      </w:r>
      <w:r>
        <w:rPr>
          <w:sz w:val="22"/>
          <w:szCs w:val="22"/>
        </w:rPr>
        <w:t>F, which represents the worst case emissions scenario for the turbine.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G3508 Natural Gas Generator</w:t>
      </w:r>
    </w:p>
    <w:p>
      <w:pPr>
        <w:pStyle w:val="Normal"/>
        <w:ind w:firstLine="720" w:end="0"/>
        <w:jc w:val="both"/>
        <w:rPr>
          <w:sz w:val="22"/>
          <w:szCs w:val="22"/>
        </w:rPr>
      </w:pPr>
      <w:r>
        <w:rPr>
          <w:sz w:val="22"/>
          <w:szCs w:val="22"/>
        </w:rPr>
      </w:r>
    </w:p>
    <w:p>
      <w:pPr>
        <w:pStyle w:val="Normal"/>
        <w:ind w:start="1440" w:end="0"/>
        <w:jc w:val="both"/>
        <w:rPr>
          <w:sz w:val="22"/>
          <w:szCs w:val="22"/>
        </w:rPr>
      </w:pPr>
      <w:r>
        <w:rPr>
          <w:sz w:val="22"/>
          <w:szCs w:val="22"/>
        </w:rPr>
        <w:t>The Arizona Administrative Code (A.A.C) R18-2-719, Standards of Performance for Existing Stationary Rotating Machinery, is applicable to the Caterpillar G3508 Natural Gas Generator.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VII.A.1.a: This condition, according to A.A.C. R18-2-719(C)(1), limits the emissions of PM to 92.7 lb/hr. This limit was calculated as follows:</w:t>
      </w:r>
    </w:p>
    <w:p>
      <w:pPr>
        <w:pStyle w:val="Normal"/>
        <w:jc w:val="both"/>
        <w:rPr>
          <w:sz w:val="22"/>
          <w:szCs w:val="22"/>
        </w:rPr>
      </w:pPr>
      <w:r>
        <w:rPr>
          <w:sz w:val="22"/>
          <w:szCs w:val="22"/>
        </w:rPr>
      </w:r>
    </w:p>
    <w:p>
      <w:pPr>
        <w:pStyle w:val="Normal"/>
        <w:tabs>
          <w:tab w:val="clear" w:pos="720"/>
          <w:tab w:val="left" w:pos="-1440" w:leader="none"/>
        </w:tabs>
        <w:ind w:hanging="720" w:start="2880" w:end="0"/>
        <w:jc w:val="both"/>
        <w:rPr/>
      </w:pPr>
      <w:r>
        <w:rPr>
          <w:sz w:val="22"/>
          <w:szCs w:val="22"/>
        </w:rPr>
        <w:t xml:space="preserve">E = </w:t>
        <w:tab/>
        <w:t>1.02(352)</w:t>
      </w:r>
      <w:r>
        <w:rPr>
          <w:sz w:val="22"/>
          <w:szCs w:val="22"/>
          <w:vertAlign w:val="superscript"/>
        </w:rPr>
        <w:t>0.769</w:t>
      </w:r>
      <w:r>
        <w:rPr>
          <w:sz w:val="22"/>
          <w:szCs w:val="22"/>
        </w:rPr>
        <w:t xml:space="preserve"> = 92.7 lb/hr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2. </w:t>
        <w:tab/>
        <w:t>Condition VII.A.1.b: This condition, according to A.A.C. R18-2-719(E), limits the opacity of emissions from the engine to 40%.</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VII.A.1.c: This condition, according to A.A.C. R18-2-719(J), limits the sulfur content of the fuel to 0.8%.</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4. </w:t>
        <w:tab/>
        <w:t>Condition VII.B: This condition, according to A.A.C.  R18-2-306.A.2, limits the fuel fired to pipeline quality natural gas.</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5. </w:t>
        <w:tab/>
        <w:t xml:space="preserve">Condition VII.C.1 and VII.C.2: These conditions ensure that PSD limit is not triggered. Only one of the new Caterpillar generators can be used at any time. Additionally, the hourly operational limit is to ensure that the emissions from the new turbine and generator do not exceed 225 tons per year, so that PSD is not triggered (with a 10% safety factor).  </w:t>
      </w:r>
    </w:p>
    <w:p>
      <w:pPr>
        <w:pStyle w:val="Normal"/>
        <w:ind w:firstLine="4320" w:end="0"/>
        <w:jc w:val="both"/>
        <w:rPr>
          <w:sz w:val="22"/>
          <w:szCs w:val="22"/>
        </w:rPr>
      </w:pPr>
      <w:r>
        <w:rPr>
          <w:sz w:val="22"/>
          <w:szCs w:val="22"/>
        </w:rPr>
      </w:r>
    </w:p>
    <w:p>
      <w:pPr>
        <w:pStyle w:val="Normal"/>
        <w:jc w:val="both"/>
        <w:rPr>
          <w:sz w:val="22"/>
          <w:szCs w:val="22"/>
        </w:rPr>
      </w:pPr>
      <w:r>
        <w:rPr>
          <w:sz w:val="22"/>
          <w:szCs w:val="22"/>
        </w:rPr>
        <w:t>Table 5.1. Summary of Applicable Regulations</w:t>
      </w:r>
    </w:p>
    <w:tbl>
      <w:tblPr>
        <w:tblW w:w="8280" w:type="dxa"/>
        <w:jc w:val="start"/>
        <w:tblInd w:w="120" w:type="dxa"/>
        <w:tblLayout w:type="fixed"/>
        <w:tblCellMar>
          <w:top w:w="0" w:type="dxa"/>
          <w:start w:w="120" w:type="dxa"/>
          <w:bottom w:w="0" w:type="dxa"/>
          <w:end w:w="120" w:type="dxa"/>
        </w:tblCellMar>
      </w:tblPr>
      <w:tblGrid>
        <w:gridCol w:w="2340"/>
        <w:gridCol w:w="5940"/>
      </w:tblGrid>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Applicable Requirements</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General Electric LM2500 Turbine</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40 CFR 60, Subpart A, General Provisions; Subpart GG, Standards of Performance for Stationary Gas Turbines,</w:t>
            </w:r>
            <w:r>
              <w:rPr>
                <w:rFonts w:cs="WP TypographicSymbols" w:ascii="WP TypographicSymbols" w:hAnsi="WP TypographicSymbols"/>
                <w:sz w:val="22"/>
                <w:szCs w:val="22"/>
              </w:rPr>
              <w:t>'</w:t>
            </w:r>
            <w:r>
              <w:rPr>
                <w:sz w:val="22"/>
                <w:szCs w:val="22"/>
              </w:rPr>
              <w:t xml:space="preserve"> 60.332(a)(1), </w:t>
            </w:r>
            <w:r>
              <w:rPr>
                <w:rFonts w:cs="WP TypographicSymbols" w:ascii="WP TypographicSymbols" w:hAnsi="WP TypographicSymbols"/>
                <w:sz w:val="22"/>
                <w:szCs w:val="22"/>
              </w:rPr>
              <w:t>'</w:t>
            </w:r>
            <w:r>
              <w:rPr>
                <w:sz w:val="22"/>
                <w:szCs w:val="22"/>
              </w:rPr>
              <w:t xml:space="preserve"> 60.334(c)(1), </w:t>
            </w:r>
            <w:r>
              <w:rPr>
                <w:rFonts w:cs="WP TypographicSymbols" w:ascii="WP TypographicSymbols" w:hAnsi="WP TypographicSymbols"/>
                <w:sz w:val="22"/>
                <w:szCs w:val="22"/>
              </w:rPr>
              <w:t>'</w:t>
            </w:r>
            <w:r>
              <w:rPr>
                <w:sz w:val="22"/>
                <w:szCs w:val="22"/>
              </w:rPr>
              <w:t xml:space="preserve"> 60.335(c)(2)</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G3508 Natural Gas Generator</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A.A.C. R18-2-719, Standards of Performance for Existing Stationary Rotating Machinery, -719(C)(1), -719(E), -719(F)</w:t>
            </w:r>
          </w:p>
        </w:tc>
      </w:tr>
    </w:tbl>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 </w:t>
        <w:tab/>
        <w:t>MONITORING, REPORTING AND RECORDKEEPING</w:t>
      </w:r>
    </w:p>
    <w:p>
      <w:pPr>
        <w:pStyle w:val="Normal"/>
        <w:ind w:firstLine="3600" w:end="0"/>
        <w:jc w:val="both"/>
        <w:rPr>
          <w:sz w:val="22"/>
          <w:szCs w:val="22"/>
        </w:rPr>
      </w:pPr>
      <w:r>
        <w:rPr>
          <w:sz w:val="22"/>
          <w:szCs w:val="22"/>
        </w:rPr>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1440" w:end="0"/>
        <w:jc w:val="both"/>
        <w:rPr>
          <w:sz w:val="22"/>
          <w:szCs w:val="22"/>
        </w:rPr>
      </w:pPr>
      <w:r>
        <w:rPr>
          <w:sz w:val="22"/>
          <w:szCs w:val="22"/>
        </w:rPr>
        <w:t xml:space="preserve">A. </w:t>
        <w:tab/>
        <w:t>Caterpillar G3508 Natural Gas Generator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 E and VII.F.3: These conditions requires the visible emissions from the generator stack to be monitored and logged on a quarterly basis according to the requirements of A.A.C. R18-2-306.A.3.</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2. </w:t>
        <w:tab/>
        <w:t xml:space="preserve">Condition VII.F.1: This condition, according to A.A.C. R18-2-719.I and -719.J, requires a log of the natural gas usage and a copy of the Federal Energy Regulatory Commission </w:t>
      </w:r>
      <w:r>
        <w:rPr>
          <w:rFonts w:cs="GoudyOlSt BT" w:ascii="GoudyOlSt BT" w:hAnsi="GoudyOlSt BT"/>
          <w:sz w:val="22"/>
          <w:szCs w:val="22"/>
        </w:rPr>
        <w:t>tariff agreement that contains the sulfur content and lower heating value of the pipeline quality natural gas</w:t>
      </w:r>
      <w:r>
        <w:rPr>
          <w:sz w:val="22"/>
          <w:szCs w:val="22"/>
        </w:rPr>
        <w:t>.</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VII.F.2: This condition, according to A.A.C. R18-2-306.A.3, requires the hours of operation to be logged so that the 7800 hours/year operational limit is not exceeded.</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VII. </w:t>
        <w:tab/>
        <w:t>TESTING</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pPr>
      <w:r>
        <w:rPr>
          <w:sz w:val="22"/>
          <w:szCs w:val="22"/>
        </w:rPr>
        <w:t xml:space="preserve">Condition VI.A.2 and VI.B.2: </w:t>
      </w:r>
      <w:r>
        <w:rPr>
          <w:rFonts w:cs="WP TypographicSymbols" w:ascii="WP TypographicSymbols" w:hAnsi="WP TypographicSymbols"/>
          <w:sz w:val="22"/>
          <w:szCs w:val="22"/>
        </w:rPr>
        <w:t>'</w:t>
      </w:r>
      <w:r>
        <w:rPr>
          <w:sz w:val="22"/>
          <w:szCs w:val="22"/>
        </w:rPr>
        <w:t xml:space="preserve"> 60.335(c)(2) specifies the test methods and procedures that will ensure  compliance with the emission standards. An annual test shall be performed every year at peak load to ensure compliance with the emission standards for both NOx and CO.</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G3508 Natural Gas Generator</w:t>
      </w:r>
    </w:p>
    <w:p>
      <w:pPr>
        <w:pStyle w:val="Normal"/>
        <w:jc w:val="both"/>
        <w:rPr>
          <w:sz w:val="22"/>
          <w:szCs w:val="22"/>
        </w:rPr>
      </w:pPr>
      <w:r>
        <w:rPr>
          <w:sz w:val="22"/>
          <w:szCs w:val="22"/>
        </w:rPr>
      </w:r>
    </w:p>
    <w:p>
      <w:pPr>
        <w:pStyle w:val="Normal"/>
        <w:ind w:start="1440" w:end="0"/>
        <w:jc w:val="both"/>
        <w:rPr>
          <w:sz w:val="22"/>
          <w:szCs w:val="22"/>
        </w:rPr>
      </w:pPr>
      <w:r>
        <w:rPr>
          <w:sz w:val="22"/>
          <w:szCs w:val="22"/>
        </w:rPr>
        <w:t>Condition VII.D: This condition, according to A.A.C. R18-2-306.A.3, requires an initial performance test to be conducted on the generator and requires further tests to be performed if the Director determines they are necessary.</w:t>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Cs w:val="20"/>
      </w:rPr>
    </w:pPr>
    <w:r>
      <w:rPr>
        <w:szCs w:val="20"/>
      </w:rPr>
      <w:t xml:space="preserve">Transwestern Pipeline Company </w:t>
      <w:tab/>
      <w:t>October 5, 2001</w:t>
    </w:r>
  </w:p>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13">
              <wp:simplePos x="0" y="0"/>
              <wp:positionH relativeFrom="page">
                <wp:posOffset>904240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1.2pt;margin-top:0pt;width:467.95pt;height:0.9pt;mso-wrap-style:none;v-text-anchor:middle;mso-position-horizontal-relative:page">
              <v:fill o:detectmouseclick="t" type="solid" color2="white"/>
              <v:stroke color="#3465a4" joinstyle="round" endcap="flat"/>
              <w10:wrap type="none"/>
            </v:rect>
          </w:pict>
        </mc:Fallback>
      </mc:AlternateContent>
    </w:r>
    <w:r>
      <w:rPr>
        <w:szCs w:val="20"/>
      </w:rPr>
      <w:t xml:space="preserve">Significant Revision 1001602 </w:t>
      <w:tab/>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7">
              <wp:simplePos x="0" y="0"/>
              <wp:positionH relativeFrom="margin">
                <wp:posOffset>0</wp:posOffset>
              </wp:positionH>
              <wp:positionV relativeFrom="margin">
                <wp:posOffset>0</wp:posOffset>
              </wp:positionV>
              <wp:extent cx="5943600" cy="8229600"/>
              <wp:effectExtent l="0" t="0" r="0" b="0"/>
              <wp:wrapNone/>
              <wp:docPr id="1" name="Frame1"/>
              <a:graphic xmlns:a="http://schemas.openxmlformats.org/drawingml/2006/main">
                <a:graphicData uri="http://schemas.microsoft.com/office/word/2010/wordprocessingShape">
                  <wps:wsp>
                    <wps:cNvSpPr txBox="1"/>
                    <wps:spPr>
                      <a:xfrm>
                        <a:off x="0" y="0"/>
                        <a:ext cx="5943600" cy="82296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48pt;mso-wrap-distance-left:9.05pt;mso-wrap-distance-right:9.05pt;mso-wrap-distance-top:0pt;mso-wrap-distance-bottom:0pt;margin-top:0pt;mso-position-vertical-relative:margin;margin-left:0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2"/>
        <w:b/>
        <w:szCs w:val="22"/>
        <w:rFonts w:ascii="Times New Roman" w:hAnsi="Times New Roman" w:cs="Times New Roman"/>
      </w:rPr>
    </w:lvl>
    <w:lvl w:ilvl="1">
      <w:start w:val="1"/>
      <w:numFmt w:val="decimal"/>
      <w:lvlText w:val="%2."/>
      <w:lvlJc w:val="start"/>
      <w:pPr>
        <w:tabs>
          <w:tab w:val="num" w:pos="0"/>
        </w:tabs>
        <w:ind w:start="0" w:hanging="0"/>
      </w:pPr>
      <w:rPr>
        <w:sz w:val="22"/>
        <w:b/>
        <w:szCs w:val="22"/>
        <w:rFonts w:ascii="Times New Roman" w:hAnsi="Times New Roman" w:cs="Times New Roman"/>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rFonts w:ascii="Times New Roman" w:hAnsi="Times New Roman" w:cs="Times New Roman"/>
      <w:b/>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2001-10-09T11:43:00Z</dcterms:created>
  <dc:creator>Jon Fields</dc:creator>
  <dc:description/>
  <dc:language>en-CA</dc:language>
  <cp:lastModifiedBy>Jon Fields</cp:lastModifiedBy>
  <cp:lastPrinted>2001-10-09T09:27:00Z</cp:lastPrinted>
  <dcterms:modified xsi:type="dcterms:W3CDTF">2001-10-09T11:57:00Z</dcterms:modified>
  <cp:revision>3</cp:revision>
  <dc:subject/>
  <dc:title>TECHNICAL REVIEW AND EVALUATION</dc:title>
</cp:coreProperties>
</file>