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eturnAddress"/>
        <w:rPr/>
      </w:pPr>
      <w:r>
        <w:rPr/>
      </w:r>
    </w:p>
    <w:p>
      <w:pPr>
        <w:pStyle w:val="Date"/>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Address"/>
        <w:rPr/>
      </w:pPr>
      <w:r>
        <w:rPr/>
      </w:r>
      <w:bookmarkStart w:id="0" w:name="recipaddr"/>
      <w:bookmarkStart w:id="1" w:name="recipaddr"/>
      <w:bookmarkEnd w:id="1"/>
    </w:p>
    <w:p>
      <w:pPr>
        <w:pStyle w:val="Address"/>
        <w:rPr/>
      </w:pPr>
      <w:r>
        <w:rPr/>
      </w:r>
    </w:p>
    <w:p>
      <w:pPr>
        <w:pStyle w:val="Address"/>
        <w:rPr/>
      </w:pPr>
      <w:r>
        <w:rPr/>
      </w:r>
    </w:p>
    <w:p>
      <w:pPr>
        <w:pStyle w:val="Salutation"/>
        <w:rPr/>
      </w:pPr>
      <w:r>
        <w:rPr/>
        <w:t xml:space="preserve">Dear </w:t>
      </w:r>
      <w:bookmarkStart w:id="2" w:name="recipient"/>
      <w:bookmarkEnd w:id="2"/>
      <w:r>
        <w:rPr/>
        <w:t>[</w:t>
      </w:r>
      <w:r>
        <w:rPr>
          <w:i/>
        </w:rPr>
        <w:t>Recipient</w:t>
      </w:r>
      <w:r>
        <w:rPr/>
        <w:t>]:</w:t>
      </w:r>
    </w:p>
    <w:p>
      <w:pPr>
        <w:pStyle w:val="BodyText"/>
        <w:rPr/>
      </w:pPr>
      <w:bookmarkStart w:id="3" w:name="letterbody"/>
      <w:bookmarkEnd w:id="3"/>
      <w:r>
        <w:rPr/>
        <w:t>Enron North America Corp. (“ENA”or the “Company”) has retained Credit Suisse First Boston (“CSFB”) to sell the following generation assets (the “Sale” or “Transaction”): (i) three natural gas fired, simple cycle power generation facilities currently in operation totalling 1,700 MW (nominal) of capacity (the “Peakers”); (ii) a 50 MW (nominal) natural gas fired cogeneration facility currently in operation and licensed as a QF Facility (“Las Vegas Cogen”), and a related 220 MW merchant natural gas generation project in advanced development (“Priscilla” or collectively “Project LV”); and (iii) a 750 MW (nominal) natural gas combined cycle mechant facility in advanced development (“Pastoria”).  ENA owns 100% of the Peakers, Pastoria and Priscill, and directly or indirectly 37.5% of Las Vegas Cogen.</w:t>
      </w:r>
    </w:p>
    <w:p>
      <w:pPr>
        <w:pStyle w:val="BodyText"/>
        <w:rPr/>
      </w:pPr>
      <w:r>
        <w:rPr/>
        <w:t>The portfolio of projects (the “Portfolio”) total 2,720 MW (nominal) and employ state-of-the-art, gas-fired technology and are located in four markets (SERC, MAIN, ECAR and WSCC).  All of the projects have excellent access to gas, transmission and interconnection infrastructure and except for Las Vegas Cogen, were developed by ENA on a greenfield basis.  Domestically, ENA has successfully managed the devlopment, construction and operation of over 4,000 MWs.  ENA employs a disciplined and streamlined development stategy focusing on gas-fired technolgy and identifying key sites with excellent access to natural gas supplies and transmission interconnections and in favorable locations relative to demand centers and multiple electricity trding points.</w:t>
      </w:r>
    </w:p>
    <w:p>
      <w:pPr>
        <w:pStyle w:val="BodyText"/>
        <w:rPr/>
      </w:pPr>
      <w:r>
        <w:rPr/>
        <w:t xml:space="preserve">An overview of of the Portfolio and project characteristics are provided: </w:t>
      </w:r>
    </w:p>
    <w:p>
      <w:pPr>
        <w:pStyle w:val="BodyText"/>
        <w:rPr/>
      </w:pPr>
      <w:r>
        <w:rPr/>
      </w:r>
    </w:p>
    <w:p>
      <w:pPr>
        <w:pStyle w:val="BodyText"/>
        <w:rPr/>
      </w:pPr>
      <w:r>
        <w:rPr/>
      </w:r>
    </w:p>
    <w:p>
      <w:pPr>
        <w:pStyle w:val="BodyText"/>
        <w:rPr/>
      </w:pPr>
      <w:r>
        <w:rPr/>
      </w:r>
    </w:p>
    <w:p>
      <w:pPr>
        <w:pStyle w:val="BodyText"/>
        <w:rPr/>
      </w:pPr>
      <w:r>
        <w:rPr/>
        <w:t>CSFB believes the Transaction represents an excellent opportunity for &lt;your company&gt; due to :</w:t>
      </w:r>
    </w:p>
    <w:p>
      <w:pPr>
        <w:pStyle w:val="BodyText"/>
        <w:numPr>
          <w:ilvl w:val="0"/>
          <w:numId w:val="2"/>
        </w:numPr>
        <w:tabs>
          <w:tab w:val="clear" w:pos="720"/>
          <w:tab w:val="left" w:pos="1080" w:leader="none"/>
        </w:tabs>
        <w:ind w:hanging="360" w:start="1080" w:end="0"/>
        <w:rPr/>
      </w:pPr>
      <w:r>
        <w:rPr/>
        <w:t>immediate position in alltenative markets with full ownership and operational control;</w:t>
      </w:r>
    </w:p>
    <w:p>
      <w:pPr>
        <w:pStyle w:val="BodyText"/>
        <w:numPr>
          <w:ilvl w:val="0"/>
          <w:numId w:val="2"/>
        </w:numPr>
        <w:tabs>
          <w:tab w:val="clear" w:pos="720"/>
          <w:tab w:val="left" w:pos="1080" w:leader="none"/>
        </w:tabs>
        <w:ind w:hanging="360" w:start="1080" w:end="0"/>
        <w:rPr/>
      </w:pPr>
      <w:r>
        <w:rPr/>
        <w:t>the expansion capabilities and combined cycle conversion potential at the all three Peaker sites;</w:t>
      </w:r>
    </w:p>
    <w:p>
      <w:pPr>
        <w:pStyle w:val="BodyText"/>
        <w:numPr>
          <w:ilvl w:val="0"/>
          <w:numId w:val="2"/>
        </w:numPr>
        <w:tabs>
          <w:tab w:val="clear" w:pos="720"/>
          <w:tab w:val="left" w:pos="1080" w:leader="none"/>
        </w:tabs>
        <w:ind w:hanging="360" w:start="1080" w:end="0"/>
        <w:rPr/>
      </w:pPr>
      <w:r>
        <w:rPr/>
        <w:t>the size, scale scope and quality of the portfolio;</w:t>
      </w:r>
    </w:p>
    <w:p>
      <w:pPr>
        <w:pStyle w:val="BodyText"/>
        <w:numPr>
          <w:ilvl w:val="0"/>
          <w:numId w:val="2"/>
        </w:numPr>
        <w:tabs>
          <w:tab w:val="clear" w:pos="720"/>
          <w:tab w:val="left" w:pos="1080" w:leader="none"/>
        </w:tabs>
        <w:ind w:hanging="360" w:start="1080" w:end="0"/>
        <w:rPr/>
      </w:pPr>
      <w:r>
        <w:rPr/>
        <w:t>attaractive economics from new, quality assets which are eitehr in operation or advanced development in attractive markets;</w:t>
      </w:r>
    </w:p>
    <w:p>
      <w:pPr>
        <w:pStyle w:val="BodyText"/>
        <w:numPr>
          <w:ilvl w:val="0"/>
          <w:numId w:val="2"/>
        </w:numPr>
        <w:tabs>
          <w:tab w:val="clear" w:pos="720"/>
          <w:tab w:val="left" w:pos="1080" w:leader="none"/>
        </w:tabs>
        <w:ind w:hanging="360" w:start="1080" w:end="0"/>
        <w:rPr/>
      </w:pPr>
      <w:r>
        <w:rPr/>
        <w:t>full ownership and operating controlinclduing all   and control of all output, O&amp;M and related project activities.</w:t>
      </w:r>
    </w:p>
    <w:p>
      <w:pPr>
        <w:pStyle w:val="BodyText"/>
        <w:rPr/>
      </w:pPr>
      <w:r>
        <w:rPr/>
      </w:r>
    </w:p>
    <w:p>
      <w:pPr>
        <w:pStyle w:val="BodyText"/>
        <w:rPr/>
      </w:pPr>
      <w:r>
        <w:rPr/>
        <w:t>The company’s primary objetcive for the Transaction is to maximize the total value received for the Portfolio.  ENA envsions astreamlined sales process, which results in financial close in December 2000.</w:t>
      </w:r>
    </w:p>
    <w:p>
      <w:pPr>
        <w:pStyle w:val="BodyText"/>
        <w:rPr/>
      </w:pPr>
      <w:r>
        <w:rPr/>
      </w:r>
    </w:p>
    <w:p>
      <w:pPr>
        <w:pStyle w:val="BodyText"/>
        <w:rPr/>
      </w:pPr>
      <w:r>
        <w:rPr/>
        <w:t>If you have an interest in the Transaction, please execute and return the attached confidentiality agreement to CSFB.  All question regarding the confidentiality agreement should be dircted to:</w:t>
      </w:r>
    </w:p>
    <w:p>
      <w:pPr>
        <w:pStyle w:val="BodyText"/>
        <w:rPr/>
      </w:pPr>
      <w:r>
        <w:rPr/>
      </w:r>
    </w:p>
    <w:p>
      <w:pPr>
        <w:pStyle w:val="BodyText"/>
        <w:spacing w:before="0" w:after="0"/>
        <w:rPr/>
      </w:pPr>
      <w:r>
        <w:rPr/>
        <w:tab/>
        <w:t>Stuart Zisman</w:t>
      </w:r>
    </w:p>
    <w:p>
      <w:pPr>
        <w:pStyle w:val="BodyText"/>
        <w:spacing w:before="0" w:after="0"/>
        <w:rPr/>
      </w:pPr>
      <w:r>
        <w:rPr/>
        <w:tab/>
        <w:t>Enron North America Corp.</w:t>
      </w:r>
    </w:p>
    <w:p>
      <w:pPr>
        <w:pStyle w:val="BodyText"/>
        <w:spacing w:before="0" w:after="0"/>
        <w:ind w:firstLine="720" w:end="0"/>
        <w:rPr/>
      </w:pPr>
      <w:r>
        <w:rPr/>
        <w:t xml:space="preserve">1400 Smith Street, Room </w:t>
      </w:r>
    </w:p>
    <w:p>
      <w:pPr>
        <w:pStyle w:val="BodyText"/>
        <w:spacing w:before="0" w:after="0"/>
        <w:ind w:firstLine="720" w:end="0"/>
        <w:rPr/>
      </w:pPr>
      <w:r>
        <w:rPr/>
        <w:t>Houston, Texas 77002</w:t>
      </w:r>
    </w:p>
    <w:p>
      <w:pPr>
        <w:pStyle w:val="BodyText"/>
        <w:spacing w:before="0" w:after="0"/>
        <w:ind w:firstLine="720" w:end="0"/>
        <w:rPr/>
      </w:pPr>
      <w:r>
        <w:rPr/>
        <w:t>Tel: 713.853.7493</w:t>
      </w:r>
    </w:p>
    <w:p>
      <w:pPr>
        <w:pStyle w:val="BodyText"/>
        <w:spacing w:before="0" w:after="0"/>
        <w:ind w:firstLine="720" w:end="0"/>
        <w:rPr/>
      </w:pPr>
      <w:r>
        <w:rPr/>
        <w:t>Fax: 713.646.</w:t>
      </w:r>
    </w:p>
    <w:p>
      <w:pPr>
        <w:pStyle w:val="BodyText"/>
        <w:rPr/>
      </w:pPr>
      <w:r>
        <w:rPr/>
      </w:r>
    </w:p>
    <w:p>
      <w:pPr>
        <w:pStyle w:val="BodyText"/>
        <w:rPr/>
      </w:pPr>
      <w:r>
        <w:rPr/>
        <w:t>Upon receipt of the duly executed confidentiality agreement, CSFB will provide you with a detailed Information Memorandum.  In the meantime, please feel free to call me or Jim Bartlett (212.325.4841) with any questions that you may have.</w:t>
      </w:r>
    </w:p>
    <w:p>
      <w:pPr>
        <w:pStyle w:val="BodyText"/>
        <w:rPr/>
      </w:pPr>
      <w:r>
        <w:rPr/>
      </w:r>
    </w:p>
    <w:p>
      <w:pPr>
        <w:pStyle w:val="BodyText"/>
        <w:rPr/>
      </w:pPr>
      <w:r>
        <w:rPr/>
        <w:t>Sincerely,</w:t>
      </w:r>
    </w:p>
    <w:p>
      <w:pPr>
        <w:pStyle w:val="BodyText"/>
        <w:rPr/>
      </w:pPr>
      <w:r>
        <w:rPr/>
      </w:r>
    </w:p>
    <w:p>
      <w:pPr>
        <w:pStyle w:val="BodyText"/>
        <w:rPr/>
      </w:pPr>
      <w:r>
        <w:rPr/>
        <w:t xml:space="preserve"> </w:t>
      </w:r>
    </w:p>
    <w:p>
      <w:pPr>
        <w:pStyle w:val="BodyText"/>
        <w:rPr/>
      </w:pPr>
      <w:r>
        <w:rPr/>
      </w:r>
    </w:p>
    <w:p>
      <w:pPr>
        <w:pStyle w:val="BodyText"/>
        <w:rPr/>
      </w:pPr>
      <w:r>
        <w:rPr/>
      </w:r>
    </w:p>
    <w:p>
      <w:pPr>
        <w:pStyle w:val="BodyText"/>
        <w:rPr/>
      </w:pPr>
      <w:r>
        <w:rPr/>
      </w:r>
    </w:p>
    <w:p>
      <w:pPr>
        <w:pStyle w:val="Closing"/>
        <w:rPr/>
      </w:pPr>
      <w:r>
        <w:rPr/>
        <w:t>Sincerely,</w:t>
      </w:r>
    </w:p>
    <w:p>
      <w:pPr>
        <w:pStyle w:val="Closing"/>
        <w:rPr/>
      </w:pPr>
      <w:r>
        <w:rPr/>
      </w:r>
    </w:p>
    <w:p>
      <w:pPr>
        <w:pStyle w:val="Closing"/>
        <w:rPr/>
      </w:pPr>
      <w:r>
        <w:rPr/>
      </w:r>
    </w:p>
    <w:p>
      <w:pPr>
        <w:pStyle w:val="Enclosure"/>
        <w:spacing w:before="0" w:after="16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rFonts w:ascii="Symbol" w:hAnsi="Symbol" w:cs="Symbol"/>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3"/>
      </w:numPr>
      <w:tabs>
        <w:tab w:val="clear" w:pos="720"/>
      </w:tabs>
      <w:spacing w:before="0" w:after="160"/>
    </w:pPr>
    <w:rPr/>
  </w:style>
  <w:style w:type="paragraph" w:styleId="ListBullet21">
    <w:name w:val="List Bullet 21"/>
    <w:basedOn w:val="ListBullet"/>
    <w:qFormat/>
    <w:pPr>
      <w:numPr>
        <w:ilvl w:val="0"/>
        <w:numId w:val="4"/>
      </w:numPr>
      <w:ind w:hanging="360" w:start="1080" w:end="0"/>
    </w:pPr>
    <w:rPr/>
  </w:style>
  <w:style w:type="paragraph" w:styleId="ListBullet31">
    <w:name w:val="List Bullet 31"/>
    <w:basedOn w:val="ListBullet"/>
    <w:qFormat/>
    <w:pPr>
      <w:numPr>
        <w:ilvl w:val="0"/>
        <w:numId w:val="5"/>
      </w:numPr>
      <w:ind w:hanging="360" w:start="1440" w:end="0"/>
    </w:pPr>
    <w:rPr/>
  </w:style>
  <w:style w:type="paragraph" w:styleId="ListBullet41">
    <w:name w:val="List Bullet 41"/>
    <w:basedOn w:val="ListBullet"/>
    <w:qFormat/>
    <w:pPr>
      <w:numPr>
        <w:ilvl w:val="0"/>
        <w:numId w:val="6"/>
      </w:numPr>
      <w:ind w:hanging="360" w:start="1800" w:end="0"/>
    </w:pPr>
    <w:rPr/>
  </w:style>
  <w:style w:type="paragraph" w:styleId="ListBullet51">
    <w:name w:val="List Bullet 51"/>
    <w:basedOn w:val="ListBullet"/>
    <w:qFormat/>
    <w:pPr>
      <w:numPr>
        <w:ilvl w:val="0"/>
        <w:numId w:val="7"/>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8"/>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9"/>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2000-08-22T21:36:00Z</dcterms:created>
  <dc:creator>dmille2</dc:creator>
  <dc:description/>
  <dc:language>en-CA</dc:language>
  <cp:lastModifiedBy>dmille2</cp:lastModifiedBy>
  <cp:lastPrinted>2000-08-22T20:02:00Z</cp:lastPrinted>
  <dcterms:modified xsi:type="dcterms:W3CDTF">2000-08-23T10:43:00Z</dcterms:modified>
  <cp:revision>4</cp:revision>
  <dc:subject/>
  <dc:title>Creates prewritten letters or helps you design your own</dc:title>
</cp:coreProperties>
</file>