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24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Mark Taylor</w:t>
            </w:r>
          </w:p>
          <w:p>
            <w:pPr>
              <w:pStyle w:val="To"/>
              <w:rPr/>
            </w:pPr>
            <w:r>
              <w:rPr/>
            </w:r>
          </w:p>
          <w:p>
            <w:pPr>
              <w:pStyle w:val="To"/>
              <w:rPr/>
            </w:pPr>
            <w:r>
              <w:rPr/>
            </w:r>
          </w:p>
        </w:tc>
        <w:tc>
          <w:tcPr>
            <w:tcW w:w="3955" w:type="dxa"/>
            <w:gridSpan w:val="2"/>
            <w:tcBorders/>
          </w:tcPr>
          <w:p>
            <w:pPr>
              <w:pStyle w:val="Normal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Privileged and Confidential; </w:t>
            </w:r>
          </w:p>
        </w:tc>
      </w:tr>
      <w:tr>
        <w:trPr>
          <w:trHeight w:val="240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b/>
                <w:smallCaps/>
                <w:sz w:val="16"/>
              </w:rPr>
            </w:pPr>
            <w:r>
              <w:rPr>
                <w:b/>
                <w:smallCaps/>
                <w:sz w:val="16"/>
              </w:rPr>
            </w:r>
          </w:p>
        </w:tc>
        <w:tc>
          <w:tcPr>
            <w:tcW w:w="6045" w:type="dxa"/>
            <w:tcBorders/>
          </w:tcPr>
          <w:p>
            <w:pPr>
              <w:pStyle w:val="To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o"/>
              <w:rPr/>
            </w:pPr>
            <w:r>
              <w:rPr/>
            </w:r>
          </w:p>
          <w:p>
            <w:pPr>
              <w:pStyle w:val="To"/>
              <w:rPr/>
            </w:pPr>
            <w:r>
              <w:rPr/>
            </w:r>
          </w:p>
          <w:p>
            <w:pPr>
              <w:pStyle w:val="To"/>
              <w:rPr/>
            </w:pPr>
            <w:r>
              <w:rPr/>
              <w:t>Lance Schuler</w:t>
            </w:r>
          </w:p>
        </w:tc>
        <w:tc>
          <w:tcPr>
            <w:tcW w:w="3955" w:type="dxa"/>
            <w:gridSpan w:val="2"/>
            <w:tcBorders/>
          </w:tcPr>
          <w:p>
            <w:pPr>
              <w:pStyle w:val="Normal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Attorney Client Work Product; </w:t>
            </w:r>
          </w:p>
        </w:tc>
      </w:tr>
      <w:tr>
        <w:trPr>
          <w:trHeight w:val="240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b/>
                <w:smallCaps/>
                <w:sz w:val="16"/>
              </w:rPr>
            </w:pPr>
            <w:r>
              <w:rPr>
                <w:b/>
                <w:smallCaps/>
                <w:sz w:val="16"/>
              </w:rPr>
            </w:r>
          </w:p>
        </w:tc>
        <w:tc>
          <w:tcPr>
            <w:tcW w:w="6045" w:type="dxa"/>
            <w:tcBorders/>
          </w:tcPr>
          <w:p>
            <w:pPr>
              <w:pStyle w:val="To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955" w:type="dxa"/>
            <w:gridSpan w:val="2"/>
            <w:tcBorders/>
          </w:tcPr>
          <w:p>
            <w:pPr>
              <w:pStyle w:val="Normal"/>
              <w:rPr>
                <w:b/>
                <w:smallCaps/>
              </w:rPr>
            </w:pPr>
            <w:r>
              <w:rPr>
                <w:b/>
                <w:smallCaps/>
              </w:rPr>
              <w:t>Not Discoverable</w:t>
            </w:r>
          </w:p>
        </w:tc>
      </w:tr>
      <w:tr>
        <w:trPr>
          <w:trHeight w:val="240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b/>
                <w:smallCaps/>
                <w:sz w:val="16"/>
              </w:rPr>
            </w:pPr>
            <w:r>
              <w:rPr>
                <w:b/>
                <w:smallCaps/>
                <w:sz w:val="16"/>
              </w:rPr>
            </w:r>
          </w:p>
        </w:tc>
        <w:tc>
          <w:tcPr>
            <w:tcW w:w="6045" w:type="dxa"/>
            <w:tcBorders/>
          </w:tcPr>
          <w:p>
            <w:pPr>
              <w:pStyle w:val="To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045" w:type="dxa"/>
            <w:tcBorders/>
          </w:tcPr>
          <w:p>
            <w:pPr>
              <w:pStyle w:val="To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Bob Bruce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EWS Legal</w:t>
            </w:r>
          </w:p>
          <w:p>
            <w:pPr>
              <w:pStyle w:val="Department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Goals/Priorities for 2001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t>January 26, 2001</w:t>
            </w:r>
          </w:p>
        </w:tc>
      </w:tr>
    </w:tbl>
    <w:p>
      <w:pPr>
        <w:pStyle w:val="Body"/>
        <w:jc w:val="both"/>
        <w:rPr>
          <w:sz w:val="22"/>
        </w:rPr>
      </w:pPr>
      <w:bookmarkStart w:id="1" w:name="StartOfMemo"/>
      <w:bookmarkEnd w:id="1"/>
      <w:r>
        <w:rPr>
          <w:sz w:val="22"/>
        </w:rPr>
        <w:tab/>
      </w:r>
    </w:p>
    <w:p>
      <w:pPr>
        <w:pStyle w:val="Body"/>
        <w:ind w:start="0" w:end="0"/>
        <w:jc w:val="both"/>
        <w:rPr/>
      </w:pPr>
      <w:r>
        <w:rPr>
          <w:sz w:val="22"/>
        </w:rPr>
        <w:tab/>
      </w:r>
      <w:r>
        <w:rPr>
          <w:b/>
          <w:bCs/>
          <w:sz w:val="22"/>
          <w:u w:val="single"/>
        </w:rPr>
        <w:t>Personal</w:t>
      </w:r>
    </w:p>
    <w:p>
      <w:pPr>
        <w:pStyle w:val="Body"/>
        <w:ind w:firstLine="558" w:start="90" w:end="720"/>
        <w:jc w:val="both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</w:r>
    </w:p>
    <w:p>
      <w:pPr>
        <w:pStyle w:val="Body"/>
        <w:ind w:firstLine="558" w:start="90" w:end="720"/>
        <w:jc w:val="both"/>
        <w:rPr/>
      </w:pPr>
      <w:r>
        <w:rPr>
          <w:b/>
          <w:bCs/>
          <w:sz w:val="22"/>
        </w:rPr>
        <w:t xml:space="preserve">Agriculture – </w:t>
      </w:r>
      <w:r>
        <w:rPr>
          <w:sz w:val="22"/>
        </w:rPr>
        <w:t>I understand this to be my top priority going into 2001.  March 7 is a “red-letter” date in terms of determining whether this project will go forward, and, if so, the scope of the project as it goes forward.  I am currently prioritizing coffee/sugar/cocoa issues, as our plans in this area seem to be the most concrete.</w:t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</w:r>
    </w:p>
    <w:p>
      <w:pPr>
        <w:pStyle w:val="Body"/>
        <w:ind w:firstLine="558" w:start="90" w:end="720"/>
        <w:jc w:val="both"/>
        <w:rPr/>
      </w:pPr>
      <w:r>
        <w:rPr>
          <w:b/>
          <w:bCs/>
          <w:sz w:val="22"/>
        </w:rPr>
        <w:t>Chinese Wall/Equity Trading</w:t>
      </w:r>
      <w:r>
        <w:rPr>
          <w:sz w:val="22"/>
        </w:rPr>
        <w:t xml:space="preserve"> – (1) Coordinate with IT in launching electronic distribution of policy (2)  Coordinate classroom training by Sullivan &amp; Cromwell</w:t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</w:r>
    </w:p>
    <w:p>
      <w:pPr>
        <w:pStyle w:val="Body"/>
        <w:ind w:firstLine="558" w:start="90" w:end="720"/>
        <w:jc w:val="both"/>
        <w:rPr/>
      </w:pPr>
      <w:r>
        <w:rPr>
          <w:b/>
          <w:bCs/>
          <w:sz w:val="22"/>
        </w:rPr>
        <w:t>Chinese Wall/Credit Derivatives</w:t>
      </w:r>
      <w:r>
        <w:rPr>
          <w:sz w:val="22"/>
        </w:rPr>
        <w:t xml:space="preserve"> – Given the increased staffing of the swaps group going into this year, I feel that I am now available to address this.</w:t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</w:r>
    </w:p>
    <w:p>
      <w:pPr>
        <w:pStyle w:val="Body"/>
        <w:ind w:firstLine="558" w:start="90" w:end="720"/>
        <w:jc w:val="both"/>
        <w:rPr/>
      </w:pPr>
      <w:r>
        <w:rPr>
          <w:b/>
          <w:bCs/>
          <w:sz w:val="22"/>
        </w:rPr>
        <w:t>Chinese Wall/Futures Brokers</w:t>
      </w:r>
      <w:r>
        <w:rPr>
          <w:sz w:val="22"/>
        </w:rPr>
        <w:t xml:space="preserve"> – As you know, we now have a licensed futures commission merchant business in New York, and an analogous licensed business in London, as a result of the MG acquisition.  I believe we need to establish a Chinese Wall policy for these businesses if we are going to maintain them going forward (e.g., our licensed brokers should not be discussing information about their clients’ trading activities).</w:t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</w:r>
    </w:p>
    <w:p>
      <w:pPr>
        <w:pStyle w:val="Body"/>
        <w:ind w:firstLine="558" w:start="90" w:end="720"/>
        <w:jc w:val="both"/>
        <w:rPr/>
      </w:pPr>
      <w:r>
        <w:rPr>
          <w:b/>
          <w:bCs/>
          <w:sz w:val="22"/>
        </w:rPr>
        <w:t xml:space="preserve">ISDA/Derivatives </w:t>
      </w:r>
      <w:r>
        <w:rPr>
          <w:sz w:val="22"/>
        </w:rPr>
        <w:t>– I would like to remain involved in this, even if my agricultural workload expands.  Understanding of OTC trading is important  to the value I can add to the agriculture project.</w:t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</w:r>
    </w:p>
    <w:p>
      <w:pPr>
        <w:pStyle w:val="Body"/>
        <w:ind w:firstLine="558" w:start="90" w:end="720"/>
        <w:jc w:val="both"/>
        <w:rPr/>
      </w:pPr>
      <w:r>
        <w:rPr>
          <w:b/>
          <w:bCs/>
          <w:sz w:val="22"/>
        </w:rPr>
        <w:t>Training/Development</w:t>
      </w:r>
      <w:r>
        <w:rPr>
          <w:sz w:val="22"/>
        </w:rPr>
        <w:t xml:space="preserve"> – (1) Continue research/education in agribusiness issues (2) securities law training – attend Practising Law Institute seminar on securities law for non-specialists </w:t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b/>
          <w:bCs/>
          <w:sz w:val="22"/>
          <w:u w:val="single"/>
        </w:rPr>
        <w:t>SWAPS Group</w:t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</w:r>
    </w:p>
    <w:p>
      <w:pPr>
        <w:pStyle w:val="Body"/>
        <w:ind w:firstLine="558" w:start="90" w:end="720"/>
        <w:jc w:val="both"/>
        <w:rPr/>
      </w:pPr>
      <w:r>
        <w:rPr>
          <w:b/>
          <w:bCs/>
          <w:sz w:val="22"/>
        </w:rPr>
        <w:t>Forms Changes</w:t>
      </w:r>
      <w:r>
        <w:rPr>
          <w:sz w:val="22"/>
        </w:rPr>
        <w:t xml:space="preserve"> – I think 3 areas need to be addressed: (1) Commodity Futures Modernization Act (regulatory reps), (2) 2000 ISDA Definitions (can we incorporate them by reference – if so, would this require any “tweaking” provisions), (3) 2000 ISDA Commodity Derivative Definitions (ditto).  Perhaps each of these could be assigned to a swaps lawyer, who would make a proposal for discussion at a swaps group meeting.</w:t>
      </w:r>
    </w:p>
    <w:p>
      <w:pPr>
        <w:pStyle w:val="Body"/>
        <w:ind w:firstLine="558" w:start="90" w:end="720"/>
        <w:jc w:val="both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Body"/>
        <w:ind w:firstLine="558" w:start="90" w:end="720"/>
        <w:jc w:val="both"/>
        <w:rPr/>
      </w:pPr>
      <w:r>
        <w:rPr>
          <w:b/>
          <w:bCs/>
          <w:sz w:val="22"/>
        </w:rPr>
        <w:t>Commodity Futures Modernization Act</w:t>
      </w:r>
      <w:r>
        <w:rPr>
          <w:sz w:val="22"/>
        </w:rPr>
        <w:t xml:space="preserve"> – Presentation to commercial.  I have studied the Act in detail and have prepared a draft of power point presentation.</w:t>
      </w:r>
    </w:p>
    <w:p>
      <w:pPr>
        <w:pStyle w:val="Body"/>
        <w:ind w:firstLine="558" w:start="90" w:end="720"/>
        <w:jc w:val="both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ab/>
        <w:t xml:space="preserve">REB   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spacing w:before="240" w:after="0"/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spacing w:before="240" w:after="0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/mnt/main-storage/datasets/enron-docs/doc/Taylor_012601.doc</w:t>
    </w:r>
    <w:r>
      <w:rPr>
        <w:sz w:val="12"/>
      </w:rPr>
      <w:fldChar w:fldCharType="end"/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spacing w:before="240" w:after="0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/mnt/main-storage/datasets/enron-docs/doc/Taylor_012601.doc</w:t>
    </w:r>
    <w:r>
      <w:rPr>
        <w:sz w:val="12"/>
      </w:rPr>
      <w:fldChar w:fldCharType="end"/>
    </w:r>
  </w:p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360" w:leader="none"/>
      </w:tabs>
      <w:rPr/>
    </w:pPr>
    <w:r>
      <w:rPr>
        <w:sz w:val="20"/>
      </w:rPr>
      <w:tab/>
    </w:r>
    <w:r>
      <w:rPr>
        <w:b/>
        <w:smallCaps/>
        <w:sz w:val="20"/>
      </w:rPr>
      <w:t>Privileged and Confidential;</w:t>
    </w:r>
  </w:p>
  <w:p>
    <w:pPr>
      <w:pStyle w:val="Header"/>
      <w:tabs>
        <w:tab w:val="clear" w:pos="4320"/>
        <w:tab w:val="clear" w:pos="8640"/>
        <w:tab w:val="right" w:pos="9360" w:leader="none"/>
      </w:tabs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DATE \@"MMMM\ d', 'yyyy" </w:instrText>
    </w:r>
    <w:r>
      <w:rPr>
        <w:sz w:val="20"/>
      </w:rPr>
      <w:fldChar w:fldCharType="separate"/>
    </w:r>
    <w:r>
      <w:rPr>
        <w:sz w:val="20"/>
      </w:rPr>
      <w:t>September 28, 2025</w:t>
    </w:r>
    <w:r>
      <w:rPr>
        <w:sz w:val="20"/>
      </w:rPr>
      <w:fldChar w:fldCharType="end"/>
    </w:r>
    <w:r>
      <w:rPr>
        <w:sz w:val="20"/>
      </w:rPr>
      <w:tab/>
    </w:r>
    <w:r>
      <w:rPr>
        <w:b/>
        <w:smallCaps/>
        <w:sz w:val="20"/>
      </w:rPr>
      <w:t>Attorney Client Work Product;</w:t>
    </w:r>
  </w:p>
  <w:p>
    <w:pPr>
      <w:pStyle w:val="Header"/>
      <w:tabs>
        <w:tab w:val="clear" w:pos="4320"/>
        <w:tab w:val="clear" w:pos="8640"/>
        <w:tab w:val="right" w:pos="9360" w:leader="none"/>
      </w:tabs>
      <w:spacing w:before="0" w:after="240"/>
      <w:rPr/>
    </w:pPr>
    <w:r>
      <w:rPr>
        <w:sz w:val="20"/>
      </w:rPr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ab/>
    </w:r>
    <w:r>
      <w:rPr>
        <w:b/>
        <w:smallCaps/>
        <w:sz w:val="20"/>
      </w:rPr>
      <w:t>Not Discoverable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spacing w:before="240" w:after="0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spacing w:before="240" w:after="0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mallCaps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</Template>
  <TotalTime>46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2001-01-26T15:51:00Z</dcterms:created>
  <dc:creator>Jeff Ford</dc:creator>
  <dc:description/>
  <dc:language>en-CA</dc:language>
  <cp:lastModifiedBy>rbruce2</cp:lastModifiedBy>
  <cp:lastPrinted>2001-01-10T09:23:00Z</cp:lastPrinted>
  <dcterms:modified xsi:type="dcterms:W3CDTF">2001-01-26T19:25:00Z</dcterms:modified>
  <cp:revision>5</cp:revision>
  <dc:subject>Analysis of ECT's Financial, Power and Gas Forms</dc:subject>
  <dc:title>Eron Capital &amp; Trade Resources Memo</dc:title>
</cp:coreProperties>
</file>