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u w:val="none"/>
        </w:rPr>
      </w:pPr>
      <w:r>
        <w:rPr>
          <w:b/>
          <w:u w:val="none"/>
        </w:rPr>
        <w:t>Equity Forward Transaction on Enron’s Own Stock (ENE)</w:t>
      </w:r>
    </w:p>
    <w:p>
      <w:pPr>
        <w:pStyle w:val="Heading3"/>
        <w:ind w:hanging="0" w:start="0"/>
        <w:rPr/>
      </w:pPr>
      <w:r>
        <w:rPr/>
        <w:t>June 7, 2000</w:t>
      </w:r>
    </w:p>
    <w:p>
      <w:pPr>
        <w:pStyle w:val="Normal"/>
        <w:rPr>
          <w:sz w:val="22"/>
        </w:rPr>
      </w:pPr>
      <w:r>
        <w:rPr>
          <w:sz w:val="22"/>
        </w:rPr>
      </w:r>
    </w:p>
    <w:p>
      <w:pPr>
        <w:pStyle w:val="Normal"/>
        <w:rPr>
          <w:sz w:val="22"/>
        </w:rPr>
      </w:pPr>
      <w:r>
        <w:rPr>
          <w:sz w:val="22"/>
        </w:rPr>
      </w:r>
    </w:p>
    <w:p>
      <w:pPr>
        <w:pStyle w:val="Normal"/>
        <w:rPr>
          <w:sz w:val="22"/>
        </w:rPr>
      </w:pPr>
      <w:r>
        <w:rPr>
          <w:sz w:val="22"/>
        </w:rPr>
        <w:t xml:space="preserve">Our group has developed an off-balance sheet equity forward transaction which should enable Enron to “lock-in” the forward purchase price for its shares based on current market levels and create a tax deduction for the implied interest expense in the forward agreement.  </w:t>
      </w:r>
    </w:p>
    <w:p>
      <w:pPr>
        <w:pStyle w:val="Normal"/>
        <w:rPr>
          <w:sz w:val="22"/>
        </w:rPr>
      </w:pPr>
      <w:r>
        <w:rPr>
          <w:sz w:val="22"/>
        </w:rPr>
      </w:r>
    </w:p>
    <w:p>
      <w:pPr>
        <w:pStyle w:val="Heading1"/>
        <w:ind w:hanging="0" w:start="0"/>
        <w:rPr>
          <w:sz w:val="22"/>
        </w:rPr>
      </w:pPr>
      <w:r>
        <w:rPr>
          <w:sz w:val="22"/>
        </w:rPr>
        <w:t>Transaction Overview</w:t>
      </w:r>
    </w:p>
    <w:p>
      <w:pPr>
        <w:pStyle w:val="Normal"/>
        <w:rPr>
          <w:sz w:val="22"/>
        </w:rPr>
      </w:pPr>
      <w:r>
        <w:rPr>
          <w:sz w:val="22"/>
        </w:rPr>
        <w:t>The transaction involves two key components:</w:t>
      </w:r>
    </w:p>
    <w:p>
      <w:pPr>
        <w:pStyle w:val="Normal"/>
        <w:rPr>
          <w:sz w:val="22"/>
        </w:rPr>
      </w:pPr>
      <w:r>
        <w:rPr>
          <w:sz w:val="22"/>
        </w:rPr>
      </w:r>
    </w:p>
    <w:p>
      <w:pPr>
        <w:pStyle w:val="Normal"/>
        <w:numPr>
          <w:ilvl w:val="0"/>
          <w:numId w:val="2"/>
        </w:numPr>
        <w:tabs>
          <w:tab w:val="clear" w:pos="720"/>
          <w:tab w:val="left" w:pos="540" w:leader="none"/>
        </w:tabs>
        <w:ind w:hanging="180" w:start="540" w:end="0"/>
        <w:rPr>
          <w:sz w:val="22"/>
        </w:rPr>
      </w:pPr>
      <w:r>
        <w:rPr>
          <w:b/>
          <w:sz w:val="22"/>
        </w:rPr>
        <w:t>A spot equity purchase by Enron</w:t>
      </w:r>
      <w:r>
        <w:rPr>
          <w:sz w:val="22"/>
        </w:rPr>
        <w:t>: Enron buys shares in the open market through Deutsche Bank Securities as agent.</w:t>
      </w:r>
    </w:p>
    <w:p>
      <w:pPr>
        <w:pStyle w:val="Normal"/>
        <w:tabs>
          <w:tab w:val="clear" w:pos="720"/>
          <w:tab w:val="left" w:pos="540" w:leader="none"/>
        </w:tabs>
        <w:rPr>
          <w:sz w:val="22"/>
        </w:rPr>
      </w:pPr>
      <w:r>
        <w:rPr>
          <w:sz w:val="22"/>
        </w:rPr>
      </w:r>
    </w:p>
    <w:p>
      <w:pPr>
        <w:pStyle w:val="Normal"/>
        <w:numPr>
          <w:ilvl w:val="0"/>
          <w:numId w:val="2"/>
        </w:numPr>
        <w:tabs>
          <w:tab w:val="clear" w:pos="720"/>
          <w:tab w:val="left" w:pos="540" w:leader="none"/>
        </w:tabs>
        <w:ind w:hanging="180" w:start="540" w:end="0"/>
        <w:rPr>
          <w:sz w:val="22"/>
        </w:rPr>
      </w:pPr>
      <w:r>
        <w:rPr>
          <w:b/>
          <w:sz w:val="22"/>
        </w:rPr>
        <w:t xml:space="preserve">Execution of a Repurchase Transaction using Enron’s own shares: </w:t>
      </w:r>
      <w:r>
        <w:rPr>
          <w:sz w:val="22"/>
        </w:rPr>
        <w:t>Concurrently, Enron enters into a repo transaction with DB whereby it sells shares to DB in exchange for funding, and agrees to repurchase the shares from DB in the future at a forward price.  Enron may choose the settlement method for the forward component of the repo transaction (gross-physical, net cash, or net share).</w:t>
      </w:r>
      <w:r>
        <w:rPr>
          <w:b/>
          <w:sz w:val="22"/>
        </w:rPr>
        <w:br/>
      </w:r>
    </w:p>
    <w:p>
      <w:pPr>
        <w:pStyle w:val="Normal"/>
        <w:tabs>
          <w:tab w:val="clear" w:pos="720"/>
          <w:tab w:val="left" w:pos="540" w:leader="none"/>
        </w:tabs>
        <w:rPr/>
      </w:pPr>
      <w:r>
        <w:rPr>
          <w:b/>
          <w:sz w:val="22"/>
        </w:rPr>
        <w:t>Accounting Treatment</w:t>
      </w:r>
      <w:r>
        <w:rPr>
          <w:sz w:val="22"/>
        </w:rPr>
        <w:t xml:space="preserve">  </w:t>
      </w:r>
    </w:p>
    <w:p>
      <w:pPr>
        <w:pStyle w:val="Normal"/>
        <w:tabs>
          <w:tab w:val="clear" w:pos="720"/>
          <w:tab w:val="left" w:pos="540" w:leader="none"/>
        </w:tabs>
        <w:rPr>
          <w:sz w:val="22"/>
        </w:rPr>
      </w:pPr>
      <w:r>
        <w:rPr>
          <w:sz w:val="22"/>
        </w:rPr>
        <w:t>The upfront stock purchase and the initiation of the repo trade occur simultaneously, such that no cash is transferred on the settlement date.  With respect to the forward component of the repo trade, Enron has the right to determine the method of settlement for the forward transaction in accordance with EITF 00-7. This should allow Enron to avoid accounting for the forward commitment as a liability on its balance sheet.</w:t>
      </w:r>
    </w:p>
    <w:p>
      <w:pPr>
        <w:pStyle w:val="Normal"/>
        <w:tabs>
          <w:tab w:val="clear" w:pos="720"/>
          <w:tab w:val="left" w:pos="540" w:leader="none"/>
        </w:tabs>
        <w:rPr>
          <w:sz w:val="22"/>
        </w:rPr>
      </w:pPr>
      <w:r>
        <w:rPr>
          <w:sz w:val="22"/>
        </w:rPr>
      </w:r>
    </w:p>
    <w:p>
      <w:pPr>
        <w:pStyle w:val="Heading1"/>
        <w:tabs>
          <w:tab w:val="clear" w:pos="720"/>
          <w:tab w:val="left" w:pos="540" w:leader="none"/>
        </w:tabs>
        <w:ind w:hanging="0" w:start="0"/>
        <w:rPr>
          <w:sz w:val="22"/>
        </w:rPr>
      </w:pPr>
      <w:r>
        <w:rPr>
          <w:sz w:val="22"/>
        </w:rPr>
        <w:t>Tax Treatment</w:t>
      </w:r>
    </w:p>
    <w:p>
      <w:pPr>
        <w:pStyle w:val="Normal"/>
        <w:tabs>
          <w:tab w:val="clear" w:pos="720"/>
          <w:tab w:val="left" w:pos="540" w:leader="none"/>
        </w:tabs>
        <w:rPr>
          <w:sz w:val="22"/>
        </w:rPr>
      </w:pPr>
      <w:r>
        <w:rPr>
          <w:sz w:val="22"/>
        </w:rPr>
        <w:t>The repo transaction involves an initial stock sale and a forward repurchase commitment at a higher share price.  According to established tax rules regarding repo transactions, the implied interest expense associated with the higher forward price should not appear on the income statement for accounting purposes, but should be deductible for tax purposes.</w:t>
      </w:r>
    </w:p>
    <w:p>
      <w:pPr>
        <w:pStyle w:val="Normal"/>
        <w:tabs>
          <w:tab w:val="clear" w:pos="720"/>
          <w:tab w:val="left" w:pos="540" w:leader="none"/>
        </w:tabs>
        <w:rPr>
          <w:sz w:val="22"/>
        </w:rPr>
      </w:pPr>
      <w:r>
        <w:rPr>
          <w:sz w:val="22"/>
        </w:rPr>
      </w:r>
    </w:p>
    <w:p>
      <w:pPr>
        <w:pStyle w:val="Heading1"/>
        <w:tabs>
          <w:tab w:val="clear" w:pos="720"/>
          <w:tab w:val="left" w:pos="540" w:leader="none"/>
        </w:tabs>
        <w:ind w:hanging="0" w:start="0"/>
        <w:rPr>
          <w:sz w:val="22"/>
        </w:rPr>
      </w:pPr>
      <w:r>
        <w:rPr>
          <w:sz w:val="22"/>
        </w:rPr>
        <w:t>Key Issues to Consider</w:t>
      </w:r>
    </w:p>
    <w:p>
      <w:pPr>
        <w:pStyle w:val="Normal"/>
        <w:tabs>
          <w:tab w:val="clear" w:pos="720"/>
          <w:tab w:val="left" w:pos="540" w:leader="none"/>
        </w:tabs>
        <w:rPr>
          <w:sz w:val="22"/>
        </w:rPr>
      </w:pPr>
      <w:r>
        <w:rPr>
          <w:sz w:val="22"/>
        </w:rPr>
        <w:t>The desired accounting treatment for this transaction hinges on DB’s ownership of the shares that are subject to the forward repurchase agreement.  If the shares are viewed as being controlled by DB, the transaction should not be viewed as an asset or liability of Enron.  If the shares are viewed as owned by the company, the forward contract will be viewed as a liability of the company, with changes in its value marked-to-market through the income statement.</w:t>
      </w:r>
    </w:p>
    <w:p>
      <w:pPr>
        <w:pStyle w:val="Normal"/>
        <w:tabs>
          <w:tab w:val="clear" w:pos="720"/>
          <w:tab w:val="left" w:pos="540" w:leader="none"/>
        </w:tabs>
        <w:rPr>
          <w:sz w:val="22"/>
        </w:rPr>
      </w:pPr>
      <w:r>
        <w:rPr>
          <w:sz w:val="22"/>
        </w:rPr>
      </w:r>
    </w:p>
    <w:p>
      <w:pPr>
        <w:pStyle w:val="Normal"/>
        <w:tabs>
          <w:tab w:val="clear" w:pos="720"/>
          <w:tab w:val="left" w:pos="540" w:leader="none"/>
        </w:tabs>
        <w:rPr>
          <w:sz w:val="22"/>
        </w:rPr>
      </w:pPr>
      <w:r>
        <w:rPr>
          <w:sz w:val="22"/>
        </w:rPr>
        <w:t>In direct contrast to the accounting requirements, the desired tax treatment hinges on Enron being viewed as the tax owner of the forward contract shares.  If such ownership is established, the repo transaction will be viewed as a financed purchase of shares and the implied interest expense will be tax deductible.  If DB is deemed the owner of the shares for tax purposes, such deductions will not be permitted.</w:t>
      </w:r>
    </w:p>
    <w:p>
      <w:pPr>
        <w:pStyle w:val="Normal"/>
        <w:tabs>
          <w:tab w:val="clear" w:pos="720"/>
          <w:tab w:val="left" w:pos="540" w:leader="none"/>
        </w:tabs>
        <w:rPr>
          <w:sz w:val="22"/>
        </w:rPr>
      </w:pPr>
      <w:r>
        <w:rPr>
          <w:sz w:val="22"/>
        </w:rPr>
      </w:r>
    </w:p>
    <w:p>
      <w:pPr>
        <w:pStyle w:val="BodyText"/>
        <w:rPr/>
      </w:pPr>
      <w:r>
        <w:rPr/>
        <w:t>The key stock ownership issues are dividend rights, voting control, and the ability to sell or rehypothecate the shares.  Claim to the stock dividends, control over the voting rights, and the unfettered right to sell or direct the sale or distribution of the shares collectively perfect one’s tax-ownership in the stock.  The proper accounting treatment is achieved if DB is deemed to have tax-ownership of the stock.  However, as noted above, such ownership is not helpful from a tax perspective.</w:t>
      </w:r>
    </w:p>
    <w:p>
      <w:pPr>
        <w:pStyle w:val="Normal"/>
        <w:tabs>
          <w:tab w:val="clear" w:pos="720"/>
          <w:tab w:val="left" w:pos="540" w:leader="none"/>
        </w:tabs>
        <w:rPr>
          <w:sz w:val="22"/>
        </w:rPr>
      </w:pPr>
      <w:r>
        <w:rPr>
          <w:sz w:val="22"/>
        </w:rPr>
      </w:r>
    </w:p>
    <w:p>
      <w:pPr>
        <w:pStyle w:val="Normal"/>
        <w:tabs>
          <w:tab w:val="clear" w:pos="720"/>
          <w:tab w:val="left" w:pos="540" w:leader="none"/>
        </w:tabs>
        <w:rPr>
          <w:sz w:val="22"/>
        </w:rPr>
      </w:pPr>
      <w:r>
        <w:rPr>
          <w:sz w:val="22"/>
        </w:rPr>
        <w:t>We have received legal advice that it is possible to loosen the tax-ownership requirements and still preserve the tax benefits of the transaction for Enron.  Specifically, dividends received on the shares can be placed in a collateral account until the end of the forward contract, and a pro-rata voting requirement can be established for the forward contract shares.  In addition, DB can retain the right to sell or otherwise distribute the shares with an advance notification requirement for Enron.  Collectively, these changes should strengthen the accounting view that DB controls the shares.</w:t>
      </w:r>
    </w:p>
    <w:p>
      <w:pPr>
        <w:pStyle w:val="Normal"/>
        <w:tabs>
          <w:tab w:val="clear" w:pos="720"/>
          <w:tab w:val="left" w:pos="540" w:leader="none"/>
        </w:tabs>
        <w:rPr>
          <w:sz w:val="22"/>
        </w:rPr>
      </w:pPr>
      <w:r>
        <w:rPr>
          <w:sz w:val="22"/>
        </w:rPr>
      </w:r>
    </w:p>
    <w:p>
      <w:pPr>
        <w:pStyle w:val="Normal"/>
        <w:tabs>
          <w:tab w:val="clear" w:pos="720"/>
          <w:tab w:val="left" w:pos="540" w:leader="none"/>
        </w:tabs>
        <w:rPr>
          <w:sz w:val="22"/>
        </w:rPr>
      </w:pPr>
      <w:r>
        <w:rPr>
          <w:sz w:val="22"/>
        </w:rPr>
        <w:t>However, these changes do not significantly hinder the desired tax treatment. Because DB must vote the shares pro-rata, the dividends are held in escrow until the forward maturity date, and because DB must notify Enron of its intentions prior to distributing the shares, we have been advised that the benefits of tax-ownership have not been substantially transferred from Enron to DB.  Enron should therefore be viewed as the owner of the shares from a tax-perspective, thereby permitting the company to deduct the implied financing cost of the forward purchase contract.</w:t>
      </w:r>
    </w:p>
    <w:p>
      <w:pPr>
        <w:pStyle w:val="Normal"/>
        <w:tabs>
          <w:tab w:val="clear" w:pos="720"/>
          <w:tab w:val="left" w:pos="540" w:leader="none"/>
        </w:tabs>
        <w:rPr>
          <w:sz w:val="22"/>
        </w:rPr>
      </w:pPr>
      <w:r>
        <w:rPr>
          <w:sz w:val="22"/>
        </w:rPr>
      </w:r>
    </w:p>
    <w:p>
      <w:pPr>
        <w:pStyle w:val="Normal"/>
        <w:tabs>
          <w:tab w:val="clear" w:pos="720"/>
          <w:tab w:val="left" w:pos="540" w:leader="none"/>
        </w:tabs>
        <w:rPr>
          <w:sz w:val="22"/>
        </w:rPr>
      </w:pPr>
      <w:r>
        <w:rPr>
          <w:sz w:val="22"/>
        </w:rPr>
        <w:t>We hope this summary description of our equity forward transaction proves helpful as Enron reviews its share repurchase alternatives.  Please don’t hesitate to contact us should you have any questions regarding this structure, or if you would like any additional information regarding the underlying issues mentioned above.</w:t>
      </w:r>
    </w:p>
    <w:p>
      <w:pPr>
        <w:pStyle w:val="Normal"/>
        <w:tabs>
          <w:tab w:val="clear" w:pos="720"/>
          <w:tab w:val="left" w:pos="540" w:leader="none"/>
        </w:tabs>
        <w:rPr>
          <w:sz w:val="22"/>
        </w:rPr>
      </w:pPr>
      <w:r>
        <w:rPr>
          <w:sz w:val="22"/>
        </w:rPr>
      </w:r>
    </w:p>
    <w:p>
      <w:pPr>
        <w:pStyle w:val="Normal"/>
        <w:tabs>
          <w:tab w:val="clear" w:pos="720"/>
          <w:tab w:val="left" w:pos="540" w:leader="none"/>
        </w:tabs>
        <w:rPr>
          <w:sz w:val="22"/>
        </w:rPr>
      </w:pPr>
      <w:r>
        <w:rPr>
          <w:sz w:val="22"/>
        </w:rPr>
      </w:r>
    </w:p>
    <w:p>
      <w:pPr>
        <w:pStyle w:val="Normal"/>
        <w:jc w:val="center"/>
        <w:rPr>
          <w:sz w:val="22"/>
        </w:rPr>
      </w:pPr>
      <w:r>
        <w:rPr>
          <w:sz w:val="22"/>
        </w:rPr>
        <w:t>Very truly yours,</w:t>
      </w:r>
    </w:p>
    <w:p>
      <w:pPr>
        <w:pStyle w:val="Normal"/>
        <w:jc w:val="center"/>
        <w:rPr>
          <w:sz w:val="22"/>
        </w:rPr>
      </w:pPr>
      <w:r>
        <w:rPr>
          <w:sz w:val="22"/>
        </w:rPr>
      </w:r>
    </w:p>
    <w:p>
      <w:pPr>
        <w:pStyle w:val="Normal"/>
        <w:jc w:val="center"/>
        <w:rPr>
          <w:sz w:val="22"/>
        </w:rPr>
      </w:pPr>
      <w:r>
        <w:rPr>
          <w:sz w:val="22"/>
        </w:rPr>
        <w:t>Deutsche Bank Securities Inc.</w:t>
      </w:r>
    </w:p>
    <w:p>
      <w:pPr>
        <w:pStyle w:val="Normal"/>
        <w:jc w:val="center"/>
        <w:rPr>
          <w:rFonts w:ascii="Univers" w:hAnsi="Univers" w:cs="Univers"/>
          <w:b/>
          <w:i/>
          <w:i/>
          <w:sz w:val="22"/>
        </w:rPr>
      </w:pPr>
      <w:r>
        <w:rPr>
          <w:rFonts w:cs="Univers" w:ascii="Univers" w:hAnsi="Univers"/>
          <w:b/>
          <w:i/>
          <w:sz w:val="22"/>
        </w:rPr>
      </w:r>
    </w:p>
    <w:p>
      <w:pPr>
        <w:pStyle w:val="Normal"/>
        <w:jc w:val="center"/>
        <w:rPr>
          <w:rFonts w:ascii="Univers" w:hAnsi="Univers" w:cs="Univers"/>
          <w:b/>
          <w:i/>
          <w:i/>
        </w:rPr>
      </w:pPr>
      <w:r>
        <w:rPr>
          <w:rFonts w:cs="Univers" w:ascii="Univers" w:hAnsi="Univers"/>
          <w:b/>
          <w:i/>
        </w:rPr>
      </w:r>
    </w:p>
    <w:p>
      <w:pPr>
        <w:pStyle w:val="Normal"/>
        <w:jc w:val="center"/>
        <w:rPr>
          <w:rFonts w:ascii="Univers" w:hAnsi="Univers" w:cs="Univers"/>
          <w:b/>
          <w:i/>
          <w:i/>
        </w:rPr>
      </w:pPr>
      <w:r>
        <w:rPr>
          <w:rFonts w:cs="Univers" w:ascii="Univers" w:hAnsi="Univers"/>
          <w:b/>
          <w:i/>
        </w:rPr>
        <w:t>Strategic Equity Transactions Group</w:t>
      </w:r>
    </w:p>
    <w:p>
      <w:pPr>
        <w:pStyle w:val="Normal"/>
        <w:jc w:val="center"/>
        <w:rPr>
          <w:rFonts w:ascii="Univers" w:hAnsi="Univers" w:cs="Univers"/>
          <w:b/>
          <w:i/>
          <w:i/>
        </w:rPr>
      </w:pPr>
      <w:r>
        <w:rPr>
          <w:rFonts w:cs="Univers" w:ascii="Univers" w:hAnsi="Univers"/>
          <w:b/>
          <w:i/>
        </w:rPr>
        <w:t>(212) 469-4930</w:t>
      </w:r>
    </w:p>
    <w:p>
      <w:pPr>
        <w:pStyle w:val="Normal"/>
        <w:jc w:val="center"/>
        <w:rPr>
          <w:rFonts w:ascii="Univers" w:hAnsi="Univers" w:cs="Univers"/>
          <w:b/>
          <w:i/>
          <w:i/>
          <w:u w:val="single"/>
        </w:rPr>
      </w:pPr>
      <w:r>
        <w:rPr>
          <w:rFonts w:cs="Univers" w:ascii="Univers" w:hAnsi="Univers"/>
          <w:b/>
          <w:i/>
          <w:u w:val="single"/>
        </w:rPr>
      </w:r>
    </w:p>
    <w:p>
      <w:pPr>
        <w:pStyle w:val="Normal"/>
        <w:jc w:val="center"/>
        <w:rPr>
          <w:rFonts w:ascii="Univers" w:hAnsi="Univers" w:cs="Univers"/>
          <w:i/>
          <w:i/>
          <w:u w:val="single"/>
        </w:rPr>
      </w:pPr>
      <w:r>
        <w:rPr>
          <w:rFonts w:cs="Univers" w:ascii="Univers" w:hAnsi="Univers"/>
          <w:i/>
          <w:u w:val="single"/>
        </w:rPr>
        <w:t>Contacts:</w:t>
      </w:r>
    </w:p>
    <w:p>
      <w:pPr>
        <w:pStyle w:val="Normal"/>
        <w:jc w:val="center"/>
        <w:rPr>
          <w:rFonts w:ascii="Univers" w:hAnsi="Univers" w:cs="Univers"/>
          <w:i/>
          <w:i/>
        </w:rPr>
      </w:pPr>
      <w:r>
        <w:rPr>
          <w:rFonts w:cs="Univers" w:ascii="Univers" w:hAnsi="Univers"/>
          <w:i/>
        </w:rPr>
        <w:t>Lauren Barnett</w:t>
      </w:r>
    </w:p>
    <w:p>
      <w:pPr>
        <w:pStyle w:val="Heading4"/>
        <w:ind w:hanging="0" w:start="0"/>
        <w:rPr/>
      </w:pPr>
      <w:r>
        <w:rPr/>
        <w:t>Roger Ehrenerg</w:t>
      </w:r>
    </w:p>
    <w:p>
      <w:pPr>
        <w:pStyle w:val="Heading4"/>
        <w:ind w:hanging="0" w:start="0"/>
        <w:rPr/>
      </w:pPr>
      <w:r>
        <w:rPr/>
        <w:t>Mike Ladas</w:t>
      </w:r>
    </w:p>
    <w:p>
      <w:pPr>
        <w:pStyle w:val="Normal"/>
        <w:jc w:val="center"/>
        <w:rPr>
          <w:rFonts w:ascii="Univers" w:hAnsi="Univers" w:cs="Univers"/>
          <w:i/>
          <w:i/>
        </w:rPr>
      </w:pPr>
      <w:r>
        <w:rPr>
          <w:rFonts w:cs="Univers" w:ascii="Univers" w:hAnsi="Univers"/>
          <w:i/>
        </w:rPr>
        <w:t>Greg Morris</w:t>
      </w:r>
    </w:p>
    <w:p>
      <w:pPr>
        <w:pStyle w:val="Normal"/>
        <w:jc w:val="center"/>
        <w:rPr>
          <w:rFonts w:ascii="Univers" w:hAnsi="Univers" w:cs="Univers"/>
          <w:i/>
          <w:i/>
        </w:rPr>
      </w:pPr>
      <w:r>
        <w:rPr>
          <w:rFonts w:cs="Univers" w:ascii="Univers" w:hAnsi="Univers"/>
          <w:i/>
        </w:rPr>
        <w:t>Ken Shoji</w:t>
      </w:r>
    </w:p>
    <w:p>
      <w:pPr>
        <w:pStyle w:val="Normal"/>
        <w:jc w:val="center"/>
        <w:rPr>
          <w:rFonts w:ascii="Univers" w:hAnsi="Univers" w:cs="Univers"/>
          <w:i/>
          <w:i/>
        </w:rPr>
      </w:pPr>
      <w:r>
        <w:rPr>
          <w:rFonts w:cs="Univers" w:ascii="Univers" w:hAnsi="Univers"/>
          <w:i/>
        </w:rPr>
        <w:t>Maria Varvatsoulis</w:t>
      </w:r>
    </w:p>
    <w:p>
      <w:pPr>
        <w:pStyle w:val="Normal"/>
        <w:jc w:val="center"/>
        <w:rPr>
          <w:rFonts w:ascii="Univers" w:hAnsi="Univers" w:cs="Univers"/>
          <w:i/>
          <w:i/>
        </w:rPr>
      </w:pPr>
      <w:r>
        <w:rPr>
          <w:rFonts w:cs="Univers" w:ascii="Univers" w:hAnsi="Univers"/>
          <w:i/>
        </w:rPr>
        <w:t>Gary Zentner</w:t>
      </w:r>
    </w:p>
    <w:p>
      <w:pPr>
        <w:pStyle w:val="Normal"/>
        <w:jc w:val="center"/>
        <w:rPr>
          <w:rFonts w:ascii="Univers" w:hAnsi="Univers" w:cs="Univers"/>
          <w:i/>
          <w:i/>
        </w:rPr>
      </w:pPr>
      <w:r>
        <w:rPr>
          <w:rFonts w:cs="Univers" w:ascii="Univers" w:hAnsi="Univers"/>
          <w:i/>
        </w:rPr>
      </w:r>
    </w:p>
    <w:p>
      <w:pPr>
        <w:pStyle w:val="Normal"/>
        <w:tabs>
          <w:tab w:val="clear" w:pos="720"/>
          <w:tab w:val="left" w:pos="540" w:leader="none"/>
        </w:tabs>
        <w:rPr>
          <w:rFonts w:ascii="Univers" w:hAnsi="Univers" w:cs="Univers"/>
          <w:sz w:val="22"/>
        </w:rPr>
      </w:pPr>
      <w:r>
        <w:rPr>
          <w:rFonts w:cs="Univers" w:ascii="Univers" w:hAnsi="Univers"/>
          <w:sz w:val="22"/>
        </w:rPr>
      </w:r>
    </w:p>
    <w:sectPr>
      <w:headerReference w:type="default" r:id="rId2"/>
      <w:type w:val="nextPage"/>
      <w:pgSz w:w="12240" w:h="15840"/>
      <w:pgMar w:left="1440" w:right="1440" w:gutter="0" w:header="720" w:top="1267" w:footer="0" w:bottom="80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ind w:end="43"/>
      <w:rPr/>
    </w:pPr>
    <w:r>
      <w:rPr>
        <w:rFonts w:cs="Arial" w:ascii="Arial" w:hAnsi="Arial"/>
        <w:b/>
      </w:rPr>
      <w:t>Deutsche Banc Alex. Brown</w:t>
    </w:r>
    <w:r>
      <w:rPr>
        <w:rFonts w:cs="Univers" w:ascii="Univers" w:hAnsi="Univers"/>
        <w:b/>
      </w:rPr>
      <w:t xml:space="preserve"> </w:t>
      <w:tab/>
    </w:r>
    <w:r>
      <w:rPr>
        <w:rFonts w:cs="Arial" w:ascii="Arial" w:hAnsi="Arial"/>
        <w:b/>
        <w:sz w:val="24"/>
      </w:rPr>
      <w:t>Deutsche Bank</w:t>
    </w:r>
    <w:r>
      <w:rPr>
        <w:rFonts w:cs="Univers" w:ascii="Univers" w:hAnsi="Univers"/>
        <w:b/>
      </w:rPr>
      <w:br/>
    </w:r>
    <w:r>
      <w:rPr>
        <w:rFonts w:cs="Arial" w:ascii="Arial" w:hAnsi="Arial"/>
        <w:b/>
      </w:rPr>
      <w:t>Strategic Equity Transactions Group</w:t>
      <w:tab/>
    </w:r>
  </w:p>
  <w:p>
    <w:pPr>
      <w:pStyle w:val="Normal"/>
      <w:tabs>
        <w:tab w:val="clear" w:pos="720"/>
        <w:tab w:val="right" w:pos="9720" w:leader="none"/>
      </w:tabs>
      <w:ind w:end="43"/>
      <w:rPr/>
    </w:pPr>
    <w: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266700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1pt" to="467.95pt,21pt" stroked="t" o:allowincell="f" style="position:absolute">
              <v:stroke color="black" weight="9360" joinstyle="miter" endcap="flat"/>
              <v:fill o:detectmouseclick="t" on="false"/>
              <w10:wrap type="none"/>
            </v:line>
          </w:pict>
        </mc:Fallback>
      </mc:AlternateContent>
    </w:r>
    <w:r>
      <w:rPr>
        <w:rFonts w:cs="Arial" w:ascii="Arial" w:hAnsi="Arial"/>
      </w:rPr>
      <w:t>(</w:t>
    </w:r>
    <w:r>
      <w:rPr>
        <w:rFonts w:cs="Arial" w:ascii="Arial" w:hAnsi="Arial"/>
        <w:b/>
      </w:rPr>
      <w:t>212) 469-4930</w:t>
    </w:r>
    <w:r>
      <w:rPr>
        <w:rFonts w:cs="Univers" w:ascii="Univers" w:hAnsi="Univers"/>
        <w:b/>
        <w:sz w:val="18"/>
      </w:rPr>
      <w:br/>
    </w:r>
  </w:p>
  <w:p>
    <w:pPr>
      <w:pStyle w:val="Header"/>
      <w:rPr>
        <w:rFonts w:ascii="Univers" w:hAnsi="Univers" w:cs="Univers"/>
        <w:b/>
        <w:sz w:val="18"/>
      </w:rPr>
    </w:pPr>
    <w:r>
      <w:rPr>
        <w:rFonts w:cs="Univers" w:ascii="Univers" w:hAnsi="Univers"/>
        <w:b/>
        <w:sz w:val="18"/>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numPr>
        <w:ilvl w:val="2"/>
        <w:numId w:val="1"/>
      </w:numPr>
      <w:outlineLvl w:val="2"/>
    </w:pPr>
    <w:rPr>
      <w:i/>
      <w:sz w:val="22"/>
    </w:rPr>
  </w:style>
  <w:style w:type="paragraph" w:styleId="Heading4">
    <w:name w:val="heading 4"/>
    <w:basedOn w:val="Normal"/>
    <w:next w:val="Normal"/>
    <w:qFormat/>
    <w:pPr>
      <w:keepNext w:val="true"/>
      <w:numPr>
        <w:ilvl w:val="3"/>
        <w:numId w:val="1"/>
      </w:numPr>
      <w:jc w:val="center"/>
      <w:outlineLvl w:val="3"/>
    </w:pPr>
    <w:rPr>
      <w:rFonts w:ascii="Univers" w:hAnsi="Univers" w:cs="Univers"/>
      <w:i/>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pPr>
    <w:rPr>
      <w:sz w:val="22"/>
    </w:rPr>
  </w:style>
  <w:style w:type="paragraph" w:styleId="List">
    <w:name w:val="List"/>
    <w:basedOn w:val="Normal"/>
    <w:pPr>
      <w:ind w:hanging="360" w:start="360" w:end="0"/>
      <w:jc w:val="both"/>
    </w:pPr>
    <w:rPr>
      <w:rFonts w:ascii="Univers (W1);Arial" w:hAnsi="Univers (W1);Arial" w:cs="Univers (W1);Arial"/>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jc w:val="both"/>
    </w:pPr>
    <w:rPr>
      <w:rFonts w:ascii="Univers (W1);Arial" w:hAnsi="Univers (W1);Arial" w:cs="Univers (W1);Arial"/>
      <w:sz w:val="22"/>
    </w:rPr>
  </w:style>
  <w:style w:type="paragraph" w:styleId="FootnoteText">
    <w:name w:val="footnote text"/>
    <w:basedOn w:val="Normal"/>
    <w:pPr>
      <w:jc w:val="both"/>
    </w:pPr>
    <w:rPr>
      <w:rFonts w:ascii="Univers (W1);Arial" w:hAnsi="Univers (W1);Arial" w:cs="Univers (W1);Arial"/>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2000-07-21T17:34:00Z</dcterms:created>
  <dc:creator>kshoji</dc:creator>
  <dc:description/>
  <dc:language>en-CA</dc:language>
  <cp:lastModifiedBy>mladas</cp:lastModifiedBy>
  <dcterms:modified xsi:type="dcterms:W3CDTF">2000-07-21T17:59:00Z</dcterms:modified>
  <cp:revision>3</cp:revision>
  <dc:subject/>
  <dc:title>Mr</dc:title>
</cp:coreProperties>
</file>