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lang w:val="en-CA"/>
        </w:rPr>
      </w:pPr>
      <w:r>
        <w:rPr>
          <w:lang w:val="en-CA"/>
        </w:rPr>
        <w:t>ALLEN &amp; OVERY</w:t>
      </w:r>
    </w:p>
    <w:p>
      <w:pPr>
        <w:pStyle w:val="Heading"/>
        <w:rPr>
          <w:lang w:val="en-CA"/>
        </w:rPr>
      </w:pPr>
      <w:r>
        <w:rPr>
          <w:lang w:val="en-CA"/>
        </w:rPr>
      </w:r>
    </w:p>
    <w:p>
      <w:pPr>
        <w:pStyle w:val="Subtitle"/>
        <w:rPr/>
      </w:pPr>
      <w:r>
        <w:rPr/>
        <w:t>MEMORANDUM</w:t>
      </w:r>
    </w:p>
    <w:p>
      <w:pPr>
        <w:pStyle w:val="Normal"/>
        <w:tabs>
          <w:tab w:val="clear" w:pos="720"/>
          <w:tab w:val="left" w:pos="5670" w:leader="none"/>
        </w:tabs>
        <w:rPr/>
      </w:pPr>
      <w:r>
        <w:rPr/>
      </w:r>
      <w:bookmarkStart w:id="0" w:name="Status"/>
      <w:bookmarkStart w:id="1" w:name="Status"/>
      <w:bookmarkEnd w:id="1"/>
    </w:p>
    <w:tbl>
      <w:tblPr>
        <w:tblW w:w="9244" w:type="dxa"/>
        <w:jc w:val="start"/>
        <w:tblInd w:w="0" w:type="dxa"/>
        <w:tblLayout w:type="fixed"/>
        <w:tblCellMar>
          <w:top w:w="0" w:type="dxa"/>
          <w:start w:w="108" w:type="dxa"/>
          <w:bottom w:w="0" w:type="dxa"/>
          <w:end w:w="108" w:type="dxa"/>
        </w:tblCellMar>
      </w:tblPr>
      <w:tblGrid>
        <w:gridCol w:w="1368"/>
        <w:gridCol w:w="7876"/>
      </w:tblGrid>
      <w:tr>
        <w:trPr/>
        <w:tc>
          <w:tcPr>
            <w:tcW w:w="1368" w:type="dxa"/>
            <w:tcBorders/>
          </w:tcPr>
          <w:p>
            <w:pPr>
              <w:pStyle w:val="Normal"/>
              <w:tabs>
                <w:tab w:val="clear" w:pos="720"/>
                <w:tab w:val="right" w:pos="8931" w:leader="none"/>
              </w:tabs>
              <w:rPr/>
            </w:pPr>
            <w:r>
              <w:rPr/>
              <w:t>To:</w:t>
            </w:r>
          </w:p>
        </w:tc>
        <w:tc>
          <w:tcPr>
            <w:tcW w:w="7876" w:type="dxa"/>
            <w:tcBorders/>
          </w:tcPr>
          <w:p>
            <w:pPr>
              <w:pStyle w:val="Normal"/>
              <w:tabs>
                <w:tab w:val="clear" w:pos="720"/>
                <w:tab w:val="right" w:pos="8931" w:leader="none"/>
              </w:tabs>
              <w:rPr/>
            </w:pPr>
            <w:bookmarkStart w:id="2" w:name="To"/>
            <w:bookmarkEnd w:id="2"/>
            <w:r>
              <w:rPr/>
              <w:t>Members of the ISDA Strategic Documentation Review Task Force</w:t>
            </w:r>
          </w:p>
        </w:tc>
      </w:tr>
      <w:tr>
        <w:trPr/>
        <w:tc>
          <w:tcPr>
            <w:tcW w:w="1368" w:type="dxa"/>
            <w:tcBorders/>
          </w:tcPr>
          <w:p>
            <w:pPr>
              <w:pStyle w:val="Normal"/>
              <w:tabs>
                <w:tab w:val="clear" w:pos="720"/>
                <w:tab w:val="right" w:pos="8931" w:leader="none"/>
              </w:tabs>
              <w:snapToGrid w:val="false"/>
              <w:rPr/>
            </w:pPr>
            <w:r>
              <w:rPr/>
            </w:r>
            <w:bookmarkStart w:id="3" w:name="Copy"/>
            <w:bookmarkStart w:id="4" w:name="Copy"/>
            <w:bookmarkEnd w:id="4"/>
          </w:p>
        </w:tc>
        <w:tc>
          <w:tcPr>
            <w:tcW w:w="7876" w:type="dxa"/>
            <w:tcBorders/>
          </w:tcPr>
          <w:p>
            <w:pPr>
              <w:pStyle w:val="Normal"/>
              <w:tabs>
                <w:tab w:val="clear" w:pos="720"/>
                <w:tab w:val="right" w:pos="8931" w:leader="none"/>
              </w:tabs>
              <w:snapToGrid w:val="false"/>
              <w:rPr/>
            </w:pPr>
            <w:r>
              <w:rPr/>
            </w:r>
          </w:p>
        </w:tc>
      </w:tr>
      <w:tr>
        <w:trPr/>
        <w:tc>
          <w:tcPr>
            <w:tcW w:w="1368" w:type="dxa"/>
            <w:tcBorders/>
          </w:tcPr>
          <w:p>
            <w:pPr>
              <w:pStyle w:val="Normal"/>
              <w:tabs>
                <w:tab w:val="clear" w:pos="720"/>
                <w:tab w:val="right" w:pos="8931" w:leader="none"/>
              </w:tabs>
              <w:rPr/>
            </w:pPr>
            <w:r>
              <w:rPr/>
              <w:t>From:</w:t>
            </w:r>
          </w:p>
        </w:tc>
        <w:tc>
          <w:tcPr>
            <w:tcW w:w="7876" w:type="dxa"/>
            <w:tcBorders/>
          </w:tcPr>
          <w:p>
            <w:pPr>
              <w:pStyle w:val="Normal"/>
              <w:tabs>
                <w:tab w:val="clear" w:pos="720"/>
                <w:tab w:val="left" w:pos="900" w:leader="none"/>
                <w:tab w:val="right" w:pos="8931" w:leader="none"/>
              </w:tabs>
              <w:rPr/>
            </w:pPr>
            <w:bookmarkStart w:id="5" w:name="From"/>
            <w:bookmarkEnd w:id="5"/>
            <w:r>
              <w:rPr/>
              <w:t>Richard Tredgett, John Berry</w:t>
            </w:r>
          </w:p>
        </w:tc>
      </w:tr>
      <w:tr>
        <w:trPr/>
        <w:tc>
          <w:tcPr>
            <w:tcW w:w="1368" w:type="dxa"/>
            <w:tcBorders/>
          </w:tcPr>
          <w:p>
            <w:pPr>
              <w:pStyle w:val="Normal"/>
              <w:tabs>
                <w:tab w:val="clear" w:pos="720"/>
                <w:tab w:val="right" w:pos="8931" w:leader="none"/>
              </w:tabs>
              <w:snapToGrid w:val="false"/>
              <w:rPr/>
            </w:pPr>
            <w:r>
              <w:rPr/>
            </w:r>
          </w:p>
        </w:tc>
        <w:tc>
          <w:tcPr>
            <w:tcW w:w="7876" w:type="dxa"/>
            <w:tcBorders/>
          </w:tcPr>
          <w:p>
            <w:pPr>
              <w:pStyle w:val="Normal"/>
              <w:tabs>
                <w:tab w:val="clear" w:pos="720"/>
                <w:tab w:val="right" w:pos="8931" w:leader="none"/>
              </w:tabs>
              <w:snapToGrid w:val="false"/>
              <w:rPr/>
            </w:pPr>
            <w:r>
              <w:rPr/>
            </w:r>
          </w:p>
        </w:tc>
      </w:tr>
      <w:tr>
        <w:trPr/>
        <w:tc>
          <w:tcPr>
            <w:tcW w:w="1368" w:type="dxa"/>
            <w:tcBorders/>
          </w:tcPr>
          <w:p>
            <w:pPr>
              <w:pStyle w:val="Normal"/>
              <w:tabs>
                <w:tab w:val="clear" w:pos="720"/>
                <w:tab w:val="right" w:pos="8931" w:leader="none"/>
              </w:tabs>
              <w:rPr/>
            </w:pPr>
            <w:r>
              <w:rPr/>
              <w:t>Date:</w:t>
            </w:r>
          </w:p>
        </w:tc>
        <w:tc>
          <w:tcPr>
            <w:tcW w:w="7876" w:type="dxa"/>
            <w:tcBorders/>
          </w:tcPr>
          <w:p>
            <w:pPr>
              <w:pStyle w:val="Normal"/>
              <w:tabs>
                <w:tab w:val="clear" w:pos="720"/>
                <w:tab w:val="right" w:pos="8931" w:leader="none"/>
              </w:tabs>
              <w:rPr/>
            </w:pPr>
            <w:bookmarkStart w:id="6" w:name="Date"/>
            <w:bookmarkEnd w:id="6"/>
            <w:r>
              <w:rPr/>
              <w:t>6th December, 1999</w:t>
            </w:r>
          </w:p>
        </w:tc>
      </w:tr>
      <w:tr>
        <w:trPr/>
        <w:tc>
          <w:tcPr>
            <w:tcW w:w="1368" w:type="dxa"/>
            <w:tcBorders/>
          </w:tcPr>
          <w:p>
            <w:pPr>
              <w:pStyle w:val="Normal"/>
              <w:tabs>
                <w:tab w:val="clear" w:pos="720"/>
                <w:tab w:val="right" w:pos="8931" w:leader="none"/>
              </w:tabs>
              <w:snapToGrid w:val="false"/>
              <w:rPr/>
            </w:pPr>
            <w:r>
              <w:rPr/>
            </w:r>
          </w:p>
        </w:tc>
        <w:tc>
          <w:tcPr>
            <w:tcW w:w="7876" w:type="dxa"/>
            <w:tcBorders/>
          </w:tcPr>
          <w:p>
            <w:pPr>
              <w:pStyle w:val="Normal"/>
              <w:tabs>
                <w:tab w:val="clear" w:pos="720"/>
                <w:tab w:val="left" w:pos="7660" w:leader="none"/>
                <w:tab w:val="right" w:pos="8931" w:leader="none"/>
              </w:tabs>
              <w:snapToGrid w:val="false"/>
              <w:rPr/>
            </w:pPr>
            <w:r>
              <w:rPr/>
            </w:r>
          </w:p>
        </w:tc>
      </w:tr>
      <w:tr>
        <w:trPr/>
        <w:tc>
          <w:tcPr>
            <w:tcW w:w="1368" w:type="dxa"/>
            <w:tcBorders/>
          </w:tcPr>
          <w:p>
            <w:pPr>
              <w:pStyle w:val="Normal"/>
              <w:tabs>
                <w:tab w:val="clear" w:pos="720"/>
                <w:tab w:val="right" w:pos="8931" w:leader="none"/>
              </w:tabs>
              <w:rPr/>
            </w:pPr>
            <w:r>
              <w:rPr/>
              <w:t>Subject:</w:t>
            </w:r>
          </w:p>
        </w:tc>
        <w:tc>
          <w:tcPr>
            <w:tcW w:w="7876" w:type="dxa"/>
            <w:tcBorders/>
          </w:tcPr>
          <w:p>
            <w:pPr>
              <w:pStyle w:val="Normal"/>
              <w:tabs>
                <w:tab w:val="clear" w:pos="720"/>
                <w:tab w:val="right" w:pos="8931" w:leader="none"/>
              </w:tabs>
              <w:rPr>
                <w:b/>
              </w:rPr>
            </w:pPr>
            <w:bookmarkStart w:id="7" w:name="Subject"/>
            <w:bookmarkEnd w:id="7"/>
            <w:r>
              <w:rPr>
                <w:b/>
              </w:rPr>
              <w:t>Bridge Provisions</w:t>
            </w:r>
          </w:p>
        </w:tc>
      </w:tr>
    </w:tbl>
    <w:p>
      <w:pPr>
        <w:pStyle w:val="Normal"/>
        <w:pBdr>
          <w:bottom w:val="single" w:sz="6" w:space="1" w:color="000000"/>
        </w:pBdr>
        <w:tabs>
          <w:tab w:val="clear" w:pos="720"/>
          <w:tab w:val="right" w:pos="9000" w:leader="none"/>
        </w:tabs>
        <w:rPr>
          <w:sz w:val="16"/>
        </w:rPr>
      </w:pPr>
      <w:r>
        <w:rPr>
          <w:sz w:val="16"/>
        </w:rPr>
        <w:tab/>
      </w:r>
      <w:bookmarkStart w:id="8" w:name="DocRef"/>
      <w:bookmarkEnd w:id="8"/>
      <w:r>
        <w:rPr>
          <w:sz w:val="16"/>
        </w:rPr>
        <w:t>ICM:393338.1</w:t>
      </w:r>
    </w:p>
    <w:p>
      <w:pPr>
        <w:pStyle w:val="Normal"/>
        <w:rPr>
          <w:sz w:val="16"/>
        </w:rPr>
      </w:pPr>
      <w:r>
        <w:rPr>
          <w:sz w:val="16"/>
        </w:rPr>
      </w:r>
      <w:bookmarkStart w:id="9" w:name="NoteBody"/>
      <w:bookmarkStart w:id="10" w:name="NoteBody"/>
      <w:bookmarkEnd w:id="10"/>
    </w:p>
    <w:p>
      <w:pPr>
        <w:pStyle w:val="Normal"/>
        <w:rPr/>
      </w:pPr>
      <w:r>
        <w:rPr/>
        <w:t>As discussed in the ISDA Work Plans distributed on 1st December, ISDA intends to prepare standard bridging provisions for use with the ISDA Master Agreement.  The aim of the bridges will be to enable parties to incorporate transactions entered into under other industry-standard agreements ("</w:t>
      </w:r>
      <w:r>
        <w:rPr>
          <w:b/>
        </w:rPr>
        <w:t>Other Agreements</w:t>
      </w:r>
      <w:r>
        <w:rPr/>
        <w:t>") within the close-out netting provisions of their ISDA Master Agreements.</w:t>
      </w:r>
    </w:p>
    <w:p>
      <w:pPr>
        <w:pStyle w:val="Normal"/>
        <w:rPr/>
      </w:pPr>
      <w:r>
        <w:rPr/>
      </w:r>
    </w:p>
    <w:p>
      <w:pPr>
        <w:pStyle w:val="Normal"/>
        <w:rPr/>
      </w:pPr>
      <w:r>
        <w:rPr/>
        <w:t>The Master Agreement Structural Issues Working Group has so far been reviewing both the PSA/ISMA Global Master Repurchase Agreement (the "</w:t>
      </w:r>
      <w:r>
        <w:rPr>
          <w:b/>
        </w:rPr>
        <w:t>GMRA</w:t>
      </w:r>
      <w:r>
        <w:rPr/>
        <w:t>") and the Overseas Securities Lender's Agreement (the "</w:t>
      </w:r>
      <w:r>
        <w:rPr>
          <w:b/>
        </w:rPr>
        <w:t>OSLA</w:t>
      </w:r>
      <w:r>
        <w:rPr/>
        <w:t>").  It will soon begin reviewing other industry-standard agreements with a view to producing a range of bridging provisions.</w:t>
      </w:r>
    </w:p>
    <w:p>
      <w:pPr>
        <w:pStyle w:val="Normal"/>
        <w:rPr/>
      </w:pPr>
      <w:r>
        <w:rPr/>
      </w:r>
    </w:p>
    <w:p>
      <w:pPr>
        <w:pStyle w:val="Normal"/>
        <w:rPr/>
      </w:pPr>
      <w:r>
        <w:rPr/>
        <w:t>In the Working Group a consensus formed in favour of developing "Insolvency Bridges".  Under this type of bridge, the termination values for transactions documented under Other Agreements would only be brought within the ISDA Master Agreement if a Bankruptcy Event of Default were to occur under Section 5(a)(vii) of the ISDA Master Agreement (a "</w:t>
      </w:r>
      <w:r>
        <w:rPr>
          <w:b/>
        </w:rPr>
        <w:t>Bridging Event</w:t>
      </w:r>
      <w:r>
        <w:rPr/>
        <w:t>").  Such an approach maintains (at least) the relevant operational structures (as to payment, delivery, etc.).</w:t>
      </w:r>
    </w:p>
    <w:p>
      <w:pPr>
        <w:pStyle w:val="Normal"/>
        <w:rPr/>
      </w:pPr>
      <w:r>
        <w:rPr/>
      </w:r>
    </w:p>
    <w:p>
      <w:pPr>
        <w:pStyle w:val="Normal"/>
        <w:rPr/>
      </w:pPr>
      <w:r>
        <w:rPr/>
        <w:t>The Working Group also considered the broader approach of producing "Transaction Bridges" (bridges that would deem individual transactions documented under Other Agreements to be Transactions for the purposes of the ISDA Master Agreement, even without the occurrence of a Bridging Event).  This approach presented the Working Group with many obstacles, and the sentiment was that efforts should, at least for the time being, be concentrated on producing Insolvency Bridges.</w:t>
      </w:r>
    </w:p>
    <w:p>
      <w:pPr>
        <w:pStyle w:val="Normal"/>
        <w:rPr/>
      </w:pPr>
      <w:r>
        <w:rPr/>
      </w:r>
    </w:p>
    <w:p>
      <w:pPr>
        <w:pStyle w:val="Normal"/>
        <w:rPr/>
      </w:pPr>
      <w:r>
        <w:rPr/>
        <w:t>There remain, however, various possible approaches to drafting the Insolvency Bridges.  This note aims to identify these possible approaches, and the advantages and disadvantages of each approach, with a view to assisting discussion at the meeting of the Task Force scheduled for 9th December.</w:t>
      </w:r>
    </w:p>
    <w:p>
      <w:pPr>
        <w:pStyle w:val="Normal"/>
        <w:rPr/>
      </w:pPr>
      <w:r>
        <w:rPr/>
      </w:r>
    </w:p>
    <w:p>
      <w:pPr>
        <w:pStyle w:val="Normal"/>
        <w:rPr/>
      </w:pPr>
      <w:r>
        <w:rPr/>
        <w:t>There are at least three possible approaches, as discussed below:</w:t>
      </w:r>
    </w:p>
    <w:p>
      <w:pPr>
        <w:pStyle w:val="Normal"/>
        <w:rPr/>
      </w:pPr>
      <w:r>
        <w:rPr/>
      </w:r>
    </w:p>
    <w:p>
      <w:pPr>
        <w:pStyle w:val="Normal"/>
        <w:ind w:hanging="720" w:start="720" w:end="0"/>
        <w:rPr>
          <w:b/>
        </w:rPr>
      </w:pPr>
      <w:r>
        <w:rPr>
          <w:b/>
        </w:rPr>
        <w:t>1.</w:t>
        <w:tab/>
        <w:t>If Bridging Event occurs, Transactions under Other Agreement deemed to be Transactions under ISDA Master Agreement</w:t>
      </w:r>
    </w:p>
    <w:p>
      <w:pPr>
        <w:pStyle w:val="Normal"/>
        <w:rPr>
          <w:b/>
        </w:rPr>
      </w:pPr>
      <w:r>
        <w:rPr>
          <w:b/>
        </w:rPr>
      </w:r>
    </w:p>
    <w:p>
      <w:pPr>
        <w:pStyle w:val="Normal"/>
        <w:ind w:start="720" w:end="0"/>
        <w:rPr/>
      </w:pPr>
      <w:r>
        <w:rPr/>
        <w:t>Under this approach, as with all forms of Insolvency Bridge, the relevant operational mechanics of the Other Agreements are maintained.  If, however, a Bridging Event occurs, each transaction under the Other Agreement (except agency transactions, if relevant) will be deemed to be a Transaction for the purposes of the ISDA Master Agreement.  Those transactions are then closed out along with all other Transactions.</w:t>
      </w:r>
    </w:p>
    <w:p>
      <w:pPr>
        <w:pStyle w:val="Normal"/>
        <w:ind w:start="720" w:end="0"/>
        <w:rPr/>
      </w:pPr>
      <w:r>
        <w:rPr/>
      </w:r>
      <w:r>
        <w:br w:type="page"/>
      </w:r>
    </w:p>
    <w:p>
      <w:pPr>
        <w:pStyle w:val="Normal"/>
        <w:ind w:start="720" w:end="0"/>
        <w:rPr/>
      </w:pPr>
      <w:r>
        <w:rPr/>
        <w:t>This approach faces three main problems:</w:t>
      </w:r>
    </w:p>
    <w:p>
      <w:pPr>
        <w:pStyle w:val="Normal"/>
        <w:ind w:start="720" w:end="0"/>
        <w:rPr/>
      </w:pPr>
      <w:r>
        <w:rPr/>
      </w:r>
    </w:p>
    <w:p>
      <w:pPr>
        <w:pStyle w:val="Normal"/>
        <w:ind w:start="720" w:end="0"/>
        <w:rPr>
          <w:b/>
        </w:rPr>
      </w:pPr>
      <w:r>
        <w:rPr/>
        <w:t>(a)</w:t>
        <w:tab/>
      </w:r>
      <w:r>
        <w:rPr>
          <w:b/>
          <w:i/>
        </w:rPr>
        <w:t>Deviation from Termination Valuation Provisions in Other Agreement</w:t>
      </w:r>
    </w:p>
    <w:p>
      <w:pPr>
        <w:pStyle w:val="Normal"/>
        <w:ind w:start="720" w:end="0"/>
        <w:rPr>
          <w:b/>
        </w:rPr>
      </w:pPr>
      <w:r>
        <w:rPr>
          <w:b/>
        </w:rPr>
      </w:r>
    </w:p>
    <w:p>
      <w:pPr>
        <w:pStyle w:val="Normal"/>
        <w:ind w:start="1440" w:end="0"/>
        <w:rPr/>
      </w:pPr>
      <w:r>
        <w:rPr/>
        <w:t>The first problem arises because of the different termination valuation provisions in the ISDA Master Agreement and each of the Other Agreements.  If the existing ISDA Master Agreement procedures are applied to transactions under the relevant Other Agreement, this is sure to be met with resistance from participants in the relevant other market.  The issue, then, is whether and how to try to preserve the various valuation approaches of the Other Agreements, or whether and how to try to make the existing ISDA methods fit transactions under the Other Agreements.</w:t>
      </w:r>
    </w:p>
    <w:p>
      <w:pPr>
        <w:pStyle w:val="Normal"/>
        <w:ind w:start="1440" w:end="0"/>
        <w:rPr/>
      </w:pPr>
      <w:r>
        <w:rPr/>
      </w:r>
    </w:p>
    <w:p>
      <w:pPr>
        <w:pStyle w:val="Normal"/>
        <w:ind w:start="1440" w:end="0"/>
        <w:rPr/>
      </w:pPr>
      <w:r>
        <w:rPr/>
        <w:t>The first approach might involve overriding Loss or Market Quotation in relation to the transactions under the Other Agreements brought under the ISDA Master Agreement by way of the bridge; the second approach might involve amending the existing ISDA Loss calculation.</w:t>
      </w:r>
    </w:p>
    <w:p>
      <w:pPr>
        <w:pStyle w:val="Normal"/>
        <w:ind w:start="1440" w:end="0"/>
        <w:rPr/>
      </w:pPr>
      <w:r>
        <w:rPr/>
      </w:r>
    </w:p>
    <w:p>
      <w:pPr>
        <w:pStyle w:val="Normal"/>
        <w:ind w:start="720" w:end="0"/>
        <w:rPr/>
      </w:pPr>
      <w:r>
        <w:rPr/>
        <w:t>(b)</w:t>
        <w:tab/>
      </w:r>
      <w:r>
        <w:rPr>
          <w:b/>
          <w:i/>
        </w:rPr>
        <w:t>Subsequent Events of Default</w:t>
      </w:r>
    </w:p>
    <w:p>
      <w:pPr>
        <w:pStyle w:val="Normal"/>
        <w:ind w:start="720" w:end="0"/>
        <w:rPr>
          <w:b/>
          <w:i/>
          <w:i/>
        </w:rPr>
      </w:pPr>
      <w:r>
        <w:rPr>
          <w:b/>
          <w:i/>
        </w:rPr>
      </w:r>
    </w:p>
    <w:p>
      <w:pPr>
        <w:pStyle w:val="Normal"/>
        <w:ind w:start="1440" w:end="0"/>
        <w:rPr/>
      </w:pPr>
      <w:r>
        <w:rPr/>
        <w:t>Another problem is what would happen if an event of default under the Other Agreement occurs (but this does not (at first) amount to a Bridging Event) and, subsequently, a Bridging Event does occur.  The only logical approach would be to look to the default that was first in time.  Accordingly, the transactions under the Other Agreement would be closed out in accordance with the provisions of the Other Agreement, leaving a net sum payable by one of the parties, without any reference to the ISDA Master Agreement.  Upon the occurrence of the Event of Default under the ISDA Master Agreement (which would have constituted a Bridging Event), it would be "too late" for the transactions under the Other Agreement.  In this situation, the result would be that two net close-out payments would be due - one in respect of the Other Agreement, and one in respect of the ISDA Master Agreement.</w:t>
      </w:r>
    </w:p>
    <w:p>
      <w:pPr>
        <w:pStyle w:val="Normal"/>
        <w:ind w:start="1440" w:end="0"/>
        <w:rPr/>
      </w:pPr>
      <w:r>
        <w:rPr/>
      </w:r>
    </w:p>
    <w:p>
      <w:pPr>
        <w:pStyle w:val="Normal"/>
        <w:ind w:start="1440" w:end="0"/>
        <w:rPr/>
      </w:pPr>
      <w:r>
        <w:rPr/>
        <w:t>Presumably, if, upon the occurrence of an event of default under the Other Agreement, and under the terms of the Other Agreement, only some of the transactions under the Other Agreement were terminated, a subsequent Bridging Event would cause the remaining outstanding transactions to be closed out as Transactions and the resulting net amount due in respect of those transactions would be added in to the calculation of the Settlement Amount under the ISDA Master Agreement.</w:t>
      </w:r>
    </w:p>
    <w:p>
      <w:pPr>
        <w:pStyle w:val="Normal"/>
        <w:ind w:start="1440" w:end="0"/>
        <w:rPr/>
      </w:pPr>
      <w:r>
        <w:rPr/>
      </w:r>
    </w:p>
    <w:p>
      <w:pPr>
        <w:pStyle w:val="Normal"/>
        <w:ind w:start="720" w:end="0"/>
        <w:rPr/>
      </w:pPr>
      <w:r>
        <w:rPr/>
        <w:t>(c)</w:t>
        <w:tab/>
      </w:r>
      <w:r>
        <w:rPr>
          <w:b/>
          <w:i/>
        </w:rPr>
        <w:t>Collateral</w:t>
      </w:r>
    </w:p>
    <w:p>
      <w:pPr>
        <w:pStyle w:val="Normal"/>
        <w:ind w:start="720" w:end="0"/>
        <w:rPr>
          <w:b/>
          <w:i/>
          <w:i/>
        </w:rPr>
      </w:pPr>
      <w:r>
        <w:rPr>
          <w:b/>
          <w:i/>
        </w:rPr>
      </w:r>
    </w:p>
    <w:p>
      <w:pPr>
        <w:pStyle w:val="Normal"/>
        <w:ind w:start="1440" w:end="0"/>
        <w:rPr/>
      </w:pPr>
      <w:r>
        <w:rPr/>
        <w:t>Some Other Agreements (such as the GMRA and the OSLA) provide for collateral to be posted and maintained.  This presents problems for an approach which terminates transactions under the relevant Other Agreement as Transactions under the ISDA Master Agreement.  This is because the close-out netting provisions in the ISDA Master Agreement do not provide a mechanism for valuing and setting off the various collateral arrangements that are in place under the relevant Other Agreement.</w:t>
      </w:r>
    </w:p>
    <w:p>
      <w:pPr>
        <w:pStyle w:val="Normal"/>
        <w:ind w:start="1440" w:end="0"/>
        <w:rPr/>
      </w:pPr>
      <w:r>
        <w:rPr/>
      </w:r>
    </w:p>
    <w:p>
      <w:pPr>
        <w:pStyle w:val="Normal"/>
        <w:ind w:hanging="720" w:start="720" w:end="0"/>
        <w:rPr>
          <w:b/>
        </w:rPr>
      </w:pPr>
      <w:r>
        <w:rPr>
          <w:b/>
        </w:rPr>
        <w:t>2.</w:t>
        <w:tab/>
        <w:t>If Bridging Event occurs, Other Agreement deemed to be Transaction under ISDA Master Agreement</w:t>
      </w:r>
    </w:p>
    <w:p>
      <w:pPr>
        <w:pStyle w:val="Normal"/>
        <w:rPr>
          <w:b/>
        </w:rPr>
      </w:pPr>
      <w:r>
        <w:rPr>
          <w:b/>
        </w:rPr>
      </w:r>
    </w:p>
    <w:p>
      <w:pPr>
        <w:pStyle w:val="Normal"/>
        <w:ind w:start="720" w:end="0"/>
        <w:rPr/>
      </w:pPr>
      <w:r>
        <w:rPr/>
        <w:t>This approach may avoid some of the problems discussed above, but problems remain.</w:t>
      </w:r>
    </w:p>
    <w:p>
      <w:pPr>
        <w:pStyle w:val="Normal"/>
        <w:ind w:start="720" w:end="0"/>
        <w:rPr/>
      </w:pPr>
      <w:r>
        <w:rPr/>
      </w:r>
    </w:p>
    <w:p>
      <w:pPr>
        <w:pStyle w:val="Normal"/>
        <w:ind w:start="720" w:end="0"/>
        <w:rPr/>
      </w:pPr>
      <w:r>
        <w:rPr/>
        <w:t>If the entire Other Agreement is brought under the ISDA Master Agreement as a Transaction, any collateral arrangements outstanding under that Other Agreement would fall within the definition of "Exposure".  This may lead, in any interval between the occurrence of a Bridging Event and the Early Termination Date, to a theoretical requirement for one party to post additional collateral under an ISDA based mark-to-market collateral arrangement.</w:t>
      </w:r>
    </w:p>
    <w:p>
      <w:pPr>
        <w:pStyle w:val="Normal"/>
        <w:ind w:start="720" w:end="0"/>
        <w:rPr/>
      </w:pPr>
      <w:r>
        <w:rPr/>
      </w:r>
    </w:p>
    <w:p>
      <w:pPr>
        <w:pStyle w:val="Normal"/>
        <w:ind w:start="720" w:end="0"/>
        <w:rPr/>
      </w:pPr>
      <w:r>
        <w:rPr/>
        <w:t>One possible solution would be to amend the terms of the ISDA Credit Support Annex or Deed where used in conjunction with a bridge so that the term "Exposure" excludes exposures in relation to transactions under the relevant Other Agreement.  This would, however, create two distinct collateral arrangements and may be inappropriate given the aim of achieving a net position (and presumably, therefore, margin calculation) across all transactions.</w:t>
      </w:r>
    </w:p>
    <w:p>
      <w:pPr>
        <w:pStyle w:val="Normal"/>
        <w:ind w:hanging="720" w:start="720" w:end="0"/>
        <w:rPr/>
      </w:pPr>
      <w:r>
        <w:rPr/>
      </w:r>
    </w:p>
    <w:p>
      <w:pPr>
        <w:pStyle w:val="Normal"/>
        <w:ind w:start="720" w:end="0"/>
        <w:rPr>
          <w:b/>
        </w:rPr>
      </w:pPr>
      <w:r>
        <w:rPr/>
        <w:t>Another solution might be to disapply the collateral provisions within the Other Agreement, at least where a mark-to-market collateral arrangement exists in respect of the ISDA Master Agreement, but this, again, is likely to meet with resistance from participants in the relevant other market.</w:t>
      </w:r>
    </w:p>
    <w:p>
      <w:pPr>
        <w:pStyle w:val="Normal"/>
        <w:ind w:start="720" w:end="0"/>
        <w:rPr>
          <w:b/>
        </w:rPr>
      </w:pPr>
      <w:r>
        <w:rPr>
          <w:b/>
        </w:rPr>
      </w:r>
    </w:p>
    <w:p>
      <w:pPr>
        <w:pStyle w:val="Normal"/>
        <w:ind w:start="720" w:end="0"/>
        <w:rPr/>
      </w:pPr>
      <w:r>
        <w:rPr/>
        <w:t>In considering all of this, we should bear in mind that any solution that interferes with the provisions and procedures of another agreement and another product does carry with it certain risks (of recharacterisation for certain purposes, for example), which may be significant in some jurisdictions.</w:t>
      </w:r>
    </w:p>
    <w:p>
      <w:pPr>
        <w:pStyle w:val="Normal"/>
        <w:ind w:start="720" w:end="0"/>
        <w:rPr/>
      </w:pPr>
      <w:r>
        <w:rPr/>
      </w:r>
    </w:p>
    <w:p>
      <w:pPr>
        <w:pStyle w:val="Normal"/>
        <w:ind w:hanging="720" w:start="720" w:end="0"/>
        <w:rPr>
          <w:b/>
        </w:rPr>
      </w:pPr>
      <w:r>
        <w:rPr>
          <w:b/>
        </w:rPr>
        <w:t>3.</w:t>
        <w:tab/>
        <w:t>If Bridging Event occurs, Transactions under Other Agreement closed out in accordance with Other Agreement and resulting value added to determination of close-out amount under ISDA Master Agreement</w:t>
      </w:r>
    </w:p>
    <w:p>
      <w:pPr>
        <w:pStyle w:val="Normal"/>
        <w:ind w:hanging="720" w:start="720" w:end="0"/>
        <w:rPr>
          <w:b/>
        </w:rPr>
      </w:pPr>
      <w:r>
        <w:rPr>
          <w:b/>
        </w:rPr>
      </w:r>
    </w:p>
    <w:p>
      <w:pPr>
        <w:pStyle w:val="Normal"/>
        <w:ind w:start="720" w:end="0"/>
        <w:rPr/>
      </w:pPr>
      <w:r>
        <w:rPr/>
        <w:t>Under this approach, if a Bridging Event occurs, each transaction under the Other Agreement will be closed out in accordance with the provisions of the Other Agreement.  When all valuations have been made (including setting off any amounts provided or due as collateral), the single net figure will be added in to the calculation of the Settlement Amount under the ISDA Master Agreement.</w:t>
      </w:r>
    </w:p>
    <w:p>
      <w:pPr>
        <w:pStyle w:val="Normal"/>
        <w:ind w:start="720" w:end="0"/>
        <w:rPr/>
      </w:pPr>
      <w:r>
        <w:rPr/>
      </w:r>
    </w:p>
    <w:p>
      <w:pPr>
        <w:pStyle w:val="Normal"/>
        <w:ind w:start="720" w:end="0"/>
        <w:rPr/>
      </w:pPr>
      <w:r>
        <w:rPr/>
        <w:t>If, on the other hand, an event of default occurs under the Other Agreement, but not under the ISDA Master Agreement, the transactions will be closed out in accordance with the provisions of the Other Agreement and the resulting net sum will simply be payable without reference to any ISDA Master Agreement between the parties.</w:t>
      </w:r>
    </w:p>
    <w:p>
      <w:pPr>
        <w:pStyle w:val="Normal"/>
        <w:ind w:start="720" w:end="0"/>
        <w:rPr/>
      </w:pPr>
      <w:r>
        <w:rPr/>
      </w:r>
    </w:p>
    <w:p>
      <w:pPr>
        <w:pStyle w:val="Normal"/>
        <w:ind w:start="720" w:end="0"/>
        <w:rPr/>
      </w:pPr>
      <w:r>
        <w:rPr/>
        <w:t>This approach has the advantage of not interfering at all with the provisions and procedures of the Other Agreement, which, by definition, are widely known and accepted in the relevant market.  It should, therefore, be more readily accepted in that market.</w:t>
      </w:r>
    </w:p>
    <w:p>
      <w:pPr>
        <w:pStyle w:val="Normal"/>
        <w:ind w:start="720" w:end="0"/>
        <w:rPr/>
      </w:pPr>
      <w:r>
        <w:rPr/>
      </w:r>
    </w:p>
    <w:p>
      <w:pPr>
        <w:pStyle w:val="Normal"/>
        <w:ind w:start="720" w:end="0"/>
        <w:rPr/>
      </w:pPr>
      <w:r>
        <w:rPr/>
        <w:t>By keeping the agreements essentially separate, and simply placing the ISDA Master Agreement close-out netting mechanics "on top" of the Other Agreement, the insolvency, regulatory or tax implications are likely, in most jurisdictions, to be minimised.</w:t>
      </w:r>
    </w:p>
    <w:p>
      <w:pPr>
        <w:pStyle w:val="Normal"/>
        <w:ind w:start="720" w:end="0"/>
        <w:rPr/>
      </w:pPr>
      <w:r>
        <w:rPr/>
      </w:r>
    </w:p>
    <w:p>
      <w:pPr>
        <w:pStyle w:val="Normal"/>
        <w:ind w:start="720" w:end="0"/>
        <w:rPr/>
      </w:pPr>
      <w:r>
        <w:rPr/>
        <w:t>This approach should also simplify the drafting process, as detailed consideration of how conflicting provisions can be made to sit easily with one another is not required.</w:t>
      </w:r>
    </w:p>
    <w:p>
      <w:pPr>
        <w:pStyle w:val="Normal"/>
        <w:ind w:start="720" w:end="0"/>
        <w:rPr/>
      </w:pPr>
      <w:r>
        <w:rPr/>
      </w:r>
    </w:p>
    <w:p>
      <w:pPr>
        <w:pStyle w:val="Normal"/>
        <w:rPr/>
      </w:pPr>
      <w:r>
        <w:rPr/>
        <w:t>The Working Group has so far based its deliberations on four preliminary drafts (two each in respect of the GMRA and the OSLA) that were prepared very much for discussion purposes only.  Two of the drafts attempted to take the first Insolvency Bridge approach discussed above, and two of them attempted to take the broader Transaction Bridge approach (upon which the Working Group has placed less emphasis).  These drafts are attached to this memorandum.  We are distributing these drafts to the Task Force to assist in discussion of the issues only.</w:t>
      </w:r>
    </w:p>
    <w:p>
      <w:pPr>
        <w:pStyle w:val="Normal"/>
        <w:rPr/>
      </w:pPr>
      <w:r>
        <w:rPr/>
      </w:r>
    </w:p>
    <w:p>
      <w:pPr>
        <w:pStyle w:val="Normal"/>
        <w:rPr/>
      </w:pPr>
      <w:r>
        <w:rPr/>
        <w:t>In addition to the issues discussed above, the Working Group is also aware of issues (relevant to both the Insolvency Bridge approach and the Transaction Bridge approach) that may arise because of differences of approach between the ISDA Master Agreement and the Other Agreements.  From a review of the GMRA and the OSLA, these may include:</w:t>
      </w:r>
    </w:p>
    <w:p>
      <w:pPr>
        <w:pStyle w:val="Normal"/>
        <w:rPr/>
      </w:pPr>
      <w:r>
        <w:rPr/>
      </w:r>
    </w:p>
    <w:p>
      <w:pPr>
        <w:pStyle w:val="Normal"/>
        <w:rPr/>
      </w:pPr>
      <w:r>
        <w:rPr/>
        <w:t>(a)</w:t>
        <w:tab/>
        <w:t>mismatch of events of default/termination events;</w:t>
      </w:r>
    </w:p>
    <w:p>
      <w:pPr>
        <w:pStyle w:val="Normal"/>
        <w:rPr/>
      </w:pPr>
      <w:r>
        <w:rPr/>
      </w:r>
    </w:p>
    <w:p>
      <w:pPr>
        <w:pStyle w:val="Normal"/>
        <w:rPr/>
      </w:pPr>
      <w:r>
        <w:rPr/>
        <w:t>(b)</w:t>
        <w:tab/>
        <w:t>different approaches to grace periods;</w:t>
      </w:r>
    </w:p>
    <w:p>
      <w:pPr>
        <w:pStyle w:val="Normal"/>
        <w:rPr/>
      </w:pPr>
      <w:r>
        <w:rPr/>
      </w:r>
    </w:p>
    <w:p>
      <w:pPr>
        <w:pStyle w:val="Normal"/>
        <w:ind w:hanging="720" w:start="720" w:end="0"/>
        <w:rPr/>
      </w:pPr>
      <w:r>
        <w:rPr/>
        <w:t>(c)</w:t>
        <w:tab/>
        <w:t>ability to close-out an individual transaction (only) in respect of which there has been an event of default;</w:t>
      </w:r>
    </w:p>
    <w:p>
      <w:pPr>
        <w:pStyle w:val="Normal"/>
        <w:rPr/>
      </w:pPr>
      <w:r>
        <w:rPr/>
      </w:r>
    </w:p>
    <w:p>
      <w:pPr>
        <w:pStyle w:val="Normal"/>
        <w:rPr/>
      </w:pPr>
      <w:r>
        <w:rPr/>
        <w:t>(d)</w:t>
        <w:tab/>
        <w:t>different approaches to tax; and</w:t>
      </w:r>
    </w:p>
    <w:p>
      <w:pPr>
        <w:pStyle w:val="Normal"/>
        <w:rPr/>
      </w:pPr>
      <w:r>
        <w:rPr/>
      </w:r>
    </w:p>
    <w:p>
      <w:pPr>
        <w:pStyle w:val="Normal"/>
        <w:rPr/>
      </w:pPr>
      <w:r>
        <w:rPr/>
        <w:t>(e)</w:t>
        <w:tab/>
        <w:t>different approaches to dispute resolution, such as mandatory referral to arbitration.</w:t>
      </w:r>
    </w:p>
    <w:p>
      <w:pPr>
        <w:pStyle w:val="Normal"/>
        <w:rPr/>
      </w:pPr>
      <w:r>
        <w:rPr/>
      </w:r>
    </w:p>
    <w:p>
      <w:pPr>
        <w:pStyle w:val="Normal"/>
        <w:rPr/>
      </w:pPr>
      <w:r>
        <w:rPr/>
        <w:t>We look forward to discussing these issues at the meeting of the Task Force scheduled for 9th December.</w:t>
      </w:r>
    </w:p>
    <w:p>
      <w:pPr>
        <w:pStyle w:val="Normal"/>
        <w:rPr>
          <w:b/>
        </w:rPr>
      </w:pPr>
      <w:r>
        <w:rPr>
          <w:b/>
        </w:rPr>
      </w:r>
    </w:p>
    <w:p>
      <w:pPr>
        <w:pStyle w:val="Normal"/>
        <w:rPr>
          <w:b/>
        </w:rPr>
      </w:pPr>
      <w:r>
        <w:rPr>
          <w:b/>
        </w:rPr>
      </w:r>
    </w:p>
    <w:p>
      <w:pPr>
        <w:pStyle w:val="Normal"/>
        <w:rPr>
          <w:b/>
        </w:rPr>
      </w:pPr>
      <w:r>
        <w:rPr>
          <w:b/>
        </w:rPr>
        <w:t>Richard Tredgett</w:t>
      </w:r>
    </w:p>
    <w:p>
      <w:pPr>
        <w:pStyle w:val="Normal"/>
        <w:rPr>
          <w:b/>
        </w:rPr>
      </w:pPr>
      <w:r>
        <w:rPr>
          <w:b/>
        </w:rPr>
        <w:t>John Berry</w:t>
      </w:r>
    </w:p>
    <w:sectPr>
      <w:headerReference w:type="default" r:id="rId2"/>
      <w:headerReference w:type="first" r:id="rId3"/>
      <w:type w:val="nextPage"/>
      <w:pgSz w:w="11906" w:h="16838"/>
      <w:pgMar w:left="1440" w:right="1440" w:gutter="0" w:header="720" w:top="180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pprplGoth BT">
    <w:altName w:val="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080" w:leader="none"/>
        <w:tab w:val="right" w:pos="8910" w:leader="none"/>
      </w:tabs>
      <w:rPr>
        <w:rStyle w:val="PageNumber"/>
      </w:rPr>
    </w:pPr>
    <w:r>
      <w:rPr/>
      <w:t>Subject:</w:t>
      <w:tab/>
      <w:t>Bridge Provisions</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Normal"/>
      <w:tabs>
        <w:tab w:val="clear" w:pos="720"/>
        <w:tab w:val="left" w:pos="1080" w:leader="none"/>
        <w:tab w:val="right" w:pos="8910" w:leader="none"/>
      </w:tabs>
      <w:rPr/>
    </w:pPr>
    <w:r>
      <w:rPr>
        <w:rStyle w:val="PageNumber"/>
      </w:rPr>
      <w:t>From:</w:t>
      <w:tab/>
      <w:t>Richard Tredgett, John Berry</w:t>
      <w:tab/>
    </w:r>
  </w:p>
  <w:p>
    <w:pPr>
      <w:pStyle w:val="Normal"/>
      <w:tabs>
        <w:tab w:val="clear" w:pos="720"/>
        <w:tab w:val="left" w:pos="1080" w:leader="none"/>
        <w:tab w:val="right" w:pos="8910" w:leader="none"/>
      </w:tabs>
      <w:rPr>
        <w:rStyle w:val="PageNumber"/>
      </w:rPr>
    </w:pPr>
    <w:r>
      <w:rPr/>
    </w:r>
  </w:p>
  <w:p>
    <w:pPr>
      <w:pStyle w:val="Normal"/>
      <w:tabs>
        <w:tab w:val="clear" w:pos="720"/>
        <w:tab w:val="left" w:pos="1080" w:leader="none"/>
        <w:tab w:val="right" w:pos="891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ancel" w:val="0"/>
    <w:docVar w:name="DocRef" w:val="ICM:393338.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CopprplGoth BT;Tahoma" w:hAnsi="CopprplGoth BT;Tahoma" w:cs="CopprplGoth BT;Tahoma"/>
      <w:color w:val="000000"/>
      <w:sz w:val="4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Note</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2001-03-16T11:45:00Z</dcterms:created>
  <dc:creator>Allen &amp; Overy</dc:creator>
  <dc:description/>
  <dc:language>en-CA</dc:language>
  <cp:lastModifiedBy>apapesch</cp:lastModifiedBy>
  <cp:lastPrinted>1999-12-06T18:12:00Z</cp:lastPrinted>
  <dcterms:modified xsi:type="dcterms:W3CDTF">2001-03-16T11:45:00Z</dcterms:modified>
  <cp:revision>2</cp:revision>
  <dc:subject/>
  <dc:title>ALLEN &amp; OVERY</dc:title>
</cp:coreProperties>
</file>