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 xml:space="preserve">ALLIANCE INDUSTRIAL POLICY </w:t>
      </w:r>
    </w:p>
    <w:p>
      <w:pPr>
        <w:pStyle w:val="Heading1"/>
        <w:ind w:hanging="0" w:start="0"/>
        <w:rPr>
          <w:sz w:val="32"/>
        </w:rPr>
      </w:pPr>
      <w:r>
        <w:rPr>
          <w:sz w:val="32"/>
        </w:rPr>
        <w:t>TASK FORCE</w:t>
      </w:r>
    </w:p>
    <w:p>
      <w:pPr>
        <w:pStyle w:val="Heading2"/>
        <w:ind w:hanging="0" w:start="0"/>
        <w:rPr/>
      </w:pPr>
      <w:r>
        <w:rPr/>
        <w:t>Prospectus, May 10, 2001</w:t>
      </w:r>
    </w:p>
    <w:p>
      <w:pPr>
        <w:pStyle w:val="Normal"/>
        <w:rPr/>
      </w:pPr>
      <w:r>
        <w:rPr/>
      </w:r>
    </w:p>
    <w:p>
      <w:pPr>
        <w:pStyle w:val="Normal"/>
        <w:rPr/>
      </w:pPr>
      <w:r>
        <w:rPr/>
      </w:r>
    </w:p>
    <w:p>
      <w:pPr>
        <w:pStyle w:val="Normal"/>
        <w:rPr/>
      </w:pPr>
      <w:r>
        <w:rPr/>
      </w:r>
    </w:p>
    <w:p>
      <w:pPr>
        <w:pStyle w:val="Normal"/>
        <w:rPr>
          <w:b/>
          <w:bCs/>
          <w:sz w:val="22"/>
        </w:rPr>
      </w:pPr>
      <w:r>
        <w:rPr>
          <w:b/>
          <w:bCs/>
          <w:sz w:val="22"/>
        </w:rPr>
        <w:t>OVERVIEW &amp; SCOPE</w:t>
      </w:r>
    </w:p>
    <w:p>
      <w:pPr>
        <w:pStyle w:val="Normal"/>
        <w:rPr>
          <w:b/>
          <w:bCs/>
          <w:sz w:val="22"/>
        </w:rPr>
      </w:pPr>
      <w:r>
        <w:rPr>
          <w:b/>
          <w:bCs/>
          <w:sz w:val="22"/>
        </w:rPr>
      </w:r>
    </w:p>
    <w:p>
      <w:pPr>
        <w:pStyle w:val="Normal"/>
        <w:rPr>
          <w:sz w:val="20"/>
        </w:rPr>
      </w:pPr>
      <w:r>
        <w:rPr>
          <w:sz w:val="20"/>
        </w:rPr>
        <w:t>At the direction of its Associate Members, the Alliance to Save Energy is organizing a task force of its membership to identify, outline, and communicate an industrial energy-efficiency policy initiative.  The need for industrial energy policy leadership is underscored by current turbulence in energy markets and a general economic slowdown.  Energy supply constraints can be eased by a combination of applied efficiency and new fuel supplies.</w:t>
      </w:r>
    </w:p>
    <w:p>
      <w:pPr>
        <w:pStyle w:val="Normal"/>
        <w:rPr>
          <w:sz w:val="20"/>
        </w:rPr>
      </w:pPr>
      <w:r>
        <w:rPr>
          <w:sz w:val="20"/>
        </w:rPr>
      </w:r>
    </w:p>
    <w:p>
      <w:pPr>
        <w:pStyle w:val="Normal"/>
        <w:rPr/>
      </w:pPr>
      <w:r>
        <w:rPr>
          <w:sz w:val="20"/>
        </w:rPr>
        <w:t xml:space="preserve">The anticipated goals of this task force are to (1) support the restoration or increase in federal 2002 budget appropriations for the U.S. DOE’s </w:t>
      </w:r>
      <w:r>
        <w:rPr>
          <w:i/>
          <w:iCs/>
          <w:sz w:val="20"/>
        </w:rPr>
        <w:t>BestPractices</w:t>
      </w:r>
      <w:r>
        <w:rPr>
          <w:sz w:val="20"/>
        </w:rPr>
        <w:t xml:space="preserve"> and R&amp;D activities, (2) ensure a policy balance between applied efficiency and the energy supply-oriented solutions in national energy polices, and (3) promote the strategic value of energy efficiency to industry’s corporate leaders.  Final goals will be set at the Task Force kick-off meeting, scheduled for </w:t>
      </w:r>
      <w:r>
        <w:rPr>
          <w:b/>
          <w:bCs/>
          <w:sz w:val="20"/>
        </w:rPr>
        <w:t>May 24th, 9:45 am to 1:30 pm</w:t>
      </w:r>
      <w:r>
        <w:rPr>
          <w:sz w:val="20"/>
        </w:rPr>
        <w:t>.  The Task Force’s message will be shared with the Administration, DOE’s Office of Industrial Technologies (OIT), Congress, major industry trade associations, and the media.</w:t>
      </w:r>
    </w:p>
    <w:p>
      <w:pPr>
        <w:pStyle w:val="Normal"/>
        <w:rPr>
          <w:sz w:val="22"/>
        </w:rPr>
      </w:pPr>
      <w:r>
        <w:rPr>
          <w:sz w:val="22"/>
        </w:rPr>
      </w:r>
    </w:p>
    <w:p>
      <w:pPr>
        <w:pStyle w:val="Normal"/>
        <w:rPr>
          <w:b/>
          <w:bCs/>
          <w:sz w:val="22"/>
        </w:rPr>
      </w:pPr>
      <w:r>
        <w:rPr>
          <w:b/>
          <w:bCs/>
          <w:sz w:val="22"/>
        </w:rPr>
        <w:t>FORMAT</w:t>
      </w:r>
    </w:p>
    <w:p>
      <w:pPr>
        <w:pStyle w:val="Normal"/>
        <w:rPr>
          <w:b/>
          <w:bCs/>
          <w:sz w:val="22"/>
        </w:rPr>
      </w:pPr>
      <w:r>
        <w:rPr>
          <w:b/>
          <w:bCs/>
          <w:sz w:val="22"/>
        </w:rPr>
      </w:r>
    </w:p>
    <w:p>
      <w:pPr>
        <w:pStyle w:val="Normal"/>
        <w:rPr>
          <w:sz w:val="20"/>
        </w:rPr>
      </w:pPr>
      <w:r>
        <w:rPr>
          <w:sz w:val="20"/>
        </w:rPr>
        <w:t xml:space="preserve">The Task Force will meet twice a year as a body to provide direction to identify and delegate tasks for subcommittees.  Alliance staff will carry out directives for the task force and for each subcommittee.  It is anticipated that the task force will exist for 18 months.  The first meeting will be May 24, 2001, followed by meetings in November 2001 and May 2002. </w:t>
      </w:r>
    </w:p>
    <w:p>
      <w:pPr>
        <w:pStyle w:val="Normal"/>
        <w:rPr>
          <w:sz w:val="22"/>
        </w:rPr>
      </w:pPr>
      <w:r>
        <w:rPr>
          <w:sz w:val="22"/>
        </w:rPr>
      </w:r>
    </w:p>
    <w:p>
      <w:pPr>
        <w:pStyle w:val="Normal"/>
        <w:rPr>
          <w:b/>
          <w:bCs/>
          <w:sz w:val="22"/>
        </w:rPr>
      </w:pPr>
      <w:r>
        <w:rPr>
          <w:b/>
          <w:bCs/>
          <w:sz w:val="22"/>
        </w:rPr>
        <w:t>ISSUES TO BE ADDRESSED</w:t>
      </w:r>
    </w:p>
    <w:p>
      <w:pPr>
        <w:pStyle w:val="Normal"/>
        <w:rPr>
          <w:b/>
          <w:bCs/>
          <w:sz w:val="22"/>
        </w:rPr>
      </w:pPr>
      <w:r>
        <w:rPr>
          <w:b/>
          <w:bCs/>
          <w:sz w:val="22"/>
        </w:rPr>
      </w:r>
    </w:p>
    <w:p>
      <w:pPr>
        <w:pStyle w:val="Normal"/>
        <w:numPr>
          <w:ilvl w:val="0"/>
          <w:numId w:val="2"/>
        </w:numPr>
        <w:rPr>
          <w:sz w:val="20"/>
        </w:rPr>
      </w:pPr>
      <w:r>
        <w:rPr>
          <w:sz w:val="20"/>
        </w:rPr>
        <w:t>What role for industrial energy efficiency should be promoted in national energy policy?</w:t>
      </w:r>
    </w:p>
    <w:p>
      <w:pPr>
        <w:pStyle w:val="Normal"/>
        <w:numPr>
          <w:ilvl w:val="0"/>
          <w:numId w:val="2"/>
        </w:numPr>
        <w:rPr>
          <w:sz w:val="20"/>
        </w:rPr>
      </w:pPr>
      <w:r>
        <w:rPr>
          <w:sz w:val="20"/>
        </w:rPr>
        <w:t>What position to take and advocate for regarding the OIT budget?</w:t>
      </w:r>
    </w:p>
    <w:p>
      <w:pPr>
        <w:pStyle w:val="Normal"/>
        <w:numPr>
          <w:ilvl w:val="0"/>
          <w:numId w:val="2"/>
        </w:numPr>
        <w:rPr>
          <w:sz w:val="20"/>
        </w:rPr>
      </w:pPr>
      <w:r>
        <w:rPr>
          <w:sz w:val="20"/>
        </w:rPr>
        <w:t xml:space="preserve">Are the current OIT spending priorities and plans the right ones? </w:t>
      </w:r>
    </w:p>
    <w:p>
      <w:pPr>
        <w:pStyle w:val="Normal"/>
        <w:numPr>
          <w:ilvl w:val="0"/>
          <w:numId w:val="2"/>
        </w:numPr>
        <w:rPr>
          <w:sz w:val="20"/>
        </w:rPr>
      </w:pPr>
      <w:r>
        <w:rPr>
          <w:sz w:val="20"/>
        </w:rPr>
        <w:t>How can we best effectively get the message of industrial energy efficiency to policymakers and top corporate management?</w:t>
      </w:r>
    </w:p>
    <w:p>
      <w:pPr>
        <w:pStyle w:val="Normal"/>
        <w:rPr>
          <w:sz w:val="22"/>
        </w:rPr>
      </w:pPr>
      <w:r>
        <w:rPr>
          <w:sz w:val="22"/>
        </w:rPr>
      </w:r>
    </w:p>
    <w:p>
      <w:pPr>
        <w:pStyle w:val="Normal"/>
        <w:rPr>
          <w:b/>
          <w:bCs/>
          <w:sz w:val="22"/>
        </w:rPr>
      </w:pPr>
      <w:r>
        <w:rPr>
          <w:b/>
          <w:bCs/>
          <w:sz w:val="22"/>
        </w:rPr>
        <w:t>KEY DELIVERABLES</w:t>
      </w:r>
    </w:p>
    <w:p>
      <w:pPr>
        <w:pStyle w:val="Normal"/>
        <w:rPr>
          <w:b/>
          <w:bCs/>
          <w:sz w:val="22"/>
        </w:rPr>
      </w:pPr>
      <w:r>
        <w:rPr>
          <w:b/>
          <w:bCs/>
          <w:sz w:val="22"/>
        </w:rPr>
      </w:r>
    </w:p>
    <w:p>
      <w:pPr>
        <w:pStyle w:val="Normal"/>
        <w:rPr>
          <w:sz w:val="20"/>
          <w:u w:val="single"/>
        </w:rPr>
      </w:pPr>
      <w:r>
        <w:rPr>
          <w:sz w:val="20"/>
          <w:u w:val="single"/>
        </w:rPr>
        <w:t>Short-Term</w:t>
      </w:r>
    </w:p>
    <w:p>
      <w:pPr>
        <w:pStyle w:val="Normal"/>
        <w:rPr>
          <w:sz w:val="20"/>
          <w:u w:val="single"/>
        </w:rPr>
      </w:pPr>
      <w:r>
        <w:rPr>
          <w:sz w:val="20"/>
          <w:u w:val="single"/>
        </w:rPr>
      </w:r>
    </w:p>
    <w:p>
      <w:pPr>
        <w:pStyle w:val="Normal"/>
        <w:numPr>
          <w:ilvl w:val="0"/>
          <w:numId w:val="3"/>
        </w:numPr>
        <w:rPr>
          <w:sz w:val="20"/>
        </w:rPr>
      </w:pPr>
      <w:r>
        <w:rPr>
          <w:sz w:val="20"/>
        </w:rPr>
        <w:t>Direct Alliance advocacy in support of restoration of OIT funding in the FY 2002 budget appropriations process.  Demonstrate the value of current and enhanced OIT program activities.</w:t>
      </w:r>
    </w:p>
    <w:p>
      <w:pPr>
        <w:pStyle w:val="Normal"/>
        <w:numPr>
          <w:ilvl w:val="0"/>
          <w:numId w:val="3"/>
        </w:numPr>
        <w:rPr>
          <w:sz w:val="20"/>
        </w:rPr>
      </w:pPr>
      <w:r>
        <w:rPr>
          <w:sz w:val="20"/>
        </w:rPr>
        <w:t>Develop a comprehensive message in the form of a report that communicates the value of and need for federal programs promoting industrial energy-efficiency best practices and R&amp;D as part of a national energy policy that balances energy-efficiency policies and new energy supply policies.</w:t>
      </w:r>
    </w:p>
    <w:p>
      <w:pPr>
        <w:pStyle w:val="Normal"/>
        <w:rPr>
          <w:sz w:val="20"/>
        </w:rPr>
      </w:pPr>
      <w:r>
        <w:rPr>
          <w:sz w:val="20"/>
        </w:rPr>
      </w:r>
    </w:p>
    <w:p>
      <w:pPr>
        <w:pStyle w:val="Normal"/>
        <w:rPr>
          <w:sz w:val="20"/>
        </w:rPr>
      </w:pPr>
      <w:r>
        <w:rPr>
          <w:sz w:val="20"/>
          <w:u w:val="single"/>
        </w:rPr>
        <w:t>Mid- and Long-Term</w:t>
      </w:r>
    </w:p>
    <w:p>
      <w:pPr>
        <w:pStyle w:val="Normal"/>
        <w:rPr>
          <w:sz w:val="20"/>
        </w:rPr>
      </w:pPr>
      <w:r>
        <w:rPr>
          <w:sz w:val="20"/>
        </w:rPr>
      </w:r>
    </w:p>
    <w:p>
      <w:pPr>
        <w:pStyle w:val="Normal"/>
        <w:numPr>
          <w:ilvl w:val="0"/>
          <w:numId w:val="3"/>
        </w:numPr>
        <w:rPr>
          <w:sz w:val="20"/>
        </w:rPr>
      </w:pPr>
      <w:r>
        <w:rPr>
          <w:sz w:val="20"/>
        </w:rPr>
        <w:t>Evaluate the OIT program to determine if new or different program priorities can increase OIT’s value-to-program dollar ratio.</w:t>
      </w:r>
    </w:p>
    <w:p>
      <w:pPr>
        <w:pStyle w:val="Normal"/>
        <w:numPr>
          <w:ilvl w:val="0"/>
          <w:numId w:val="3"/>
        </w:numPr>
        <w:rPr>
          <w:sz w:val="20"/>
        </w:rPr>
      </w:pPr>
      <w:r>
        <w:rPr>
          <w:sz w:val="20"/>
        </w:rPr>
        <w:t>Identify, document, and promote best corporate energy management practices to industry top management as a way to increase productivity, global competitiveness, and a cleaner environment.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sz w:val="36"/>
    </w:rPr>
  </w:style>
  <w:style w:type="paragraph" w:styleId="Heading2">
    <w:name w:val="heading 2"/>
    <w:basedOn w:val="Normal"/>
    <w:next w:val="Normal"/>
    <w:qFormat/>
    <w:pPr>
      <w:keepNext w:val="true"/>
      <w:numPr>
        <w:ilvl w:val="1"/>
        <w:numId w:val="1"/>
      </w:numPr>
      <w:jc w:val="end"/>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2001-05-08T17:28:00Z</dcterms:created>
  <dc:creator>Alliance to Save Energy</dc:creator>
  <dc:description/>
  <dc:language>en-CA</dc:language>
  <cp:lastModifiedBy>dnorland</cp:lastModifiedBy>
  <cp:lastPrinted>2001-05-09T14:42:00Z</cp:lastPrinted>
  <dcterms:modified xsi:type="dcterms:W3CDTF">2001-05-10T14:06:00Z</dcterms:modified>
  <cp:revision>7</cp:revision>
  <dc:subject/>
  <dc:title>ALLIANCE INDUSTRIAL POLICY </dc:title>
</cp:coreProperties>
</file>