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0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Global Operations Issues Task Force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Summary of Issues – Week Ended 9/29/00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2, 2000</w:t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25, 2000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EES Enpower books officialized, but didn’t flow through, re-officialized in the morning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Methanol books not officialized (Global Products)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 Spreadsheet position not captured:  RLL-ERMS-XL-PRC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Approx. 50 books officialized, but didn’t flow due to London system problems with RisktRAC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Coal spreadsheet not captured due to RisktRAC access problem by BA caused by move.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26, 2000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Financial books not officialized until the next morning.  ERMS issue – metacalc did not recognize prices.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 new gas spreadsheets not pulled in to RisktRAC by BA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Lavorato book was re-officialized in the morning due to deal booked with the wrong risk type.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Coal spreadsheet not captured, pulled in the next morning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27, 2000</w:t>
      </w:r>
    </w:p>
    <w:p>
      <w:pPr>
        <w:pStyle w:val="Department"/>
        <w:widowControl/>
        <w:numPr>
          <w:ilvl w:val="0"/>
          <w:numId w:val="3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3 UK Global Products books were not officialized in RisktRAC due to system feed problems</w:t>
      </w:r>
    </w:p>
    <w:p>
      <w:pPr>
        <w:pStyle w:val="Department"/>
        <w:widowControl/>
        <w:numPr>
          <w:ilvl w:val="0"/>
          <w:numId w:val="3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20+ UK Global Products books were officialized late due to system problems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28, 2000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No officialization issues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29, 2000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- 7 UK Global Products (Petchems) books not officialized due to manpower shortage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FT-Cand-PWR-PRC spreadsheet not uploaded by book administrator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WEST-SJ-GDL book not officialized by book administrator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FT-CAND-EGSC-IDX book not officialized by book administrator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COAL-ERMS-XL-PRC spreadsheet not uploaded by book administrator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9/25/00 – Reran EES VAR due to book officialization issue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Global Products VAR due to official books issues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Coal VAR due to Coal book not official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AGG-ECT VAR due to issues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9/26/00 – Reran AGG-GAS VAR due to change in Lavorato book gas position.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Coal VAR due to spreadsheet position capture issue (RisktRAC development was setup instead of 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production module.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9/27/00 – Reran AGG-GAS VAR due to Omicron curves being loaded incorrectly by BA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Global Products VAR due to official books issues above</w:t>
        <w:tab/>
        <w:tab/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ab/>
      </w:r>
      <w:r>
        <w:rPr>
          <w:rFonts w:cs="Times New Roman" w:ascii="Times New Roman" w:hAnsi="Times New Roman"/>
          <w:color w:val="000000"/>
        </w:rPr>
        <w:t xml:space="preserve">9/28/00 – No VARs rerun  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9/29/00 – All VARs rerun as majority of commodity groups were late sending files to be included in VAR calc.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9/25/00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9/26/00 – No issues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9/27/00 – Approximately $11 Million notional value not verbally reported to the Financial Desk, by the Pulp &amp; Paper BA, .</w:t>
      </w:r>
    </w:p>
    <w:p>
      <w:pPr>
        <w:pStyle w:val="Department"/>
        <w:widowControl/>
        <w:tabs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             </w:t>
      </w:r>
      <w:r>
        <w:rPr>
          <w:rFonts w:cs="Times New Roman" w:ascii="Times New Roman" w:hAnsi="Times New Roman"/>
          <w:b/>
          <w:color w:val="000000"/>
        </w:rPr>
        <w:tab/>
      </w:r>
      <w:r>
        <w:rPr>
          <w:rFonts w:cs="Times New Roman" w:ascii="Times New Roman" w:hAnsi="Times New Roman"/>
          <w:color w:val="000000"/>
        </w:rPr>
        <w:t>thereby creating uncertainty as to the accuracy of the dollar amount, and no hedge in place.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color w:val="000000"/>
        </w:rPr>
        <w:tab/>
        <w:t>9/28/00 – No issues</w:t>
      </w:r>
      <w:r>
        <w:rPr>
          <w:rFonts w:cs="Times New Roman" w:ascii="Times New Roman" w:hAnsi="Times New Roman"/>
          <w:b/>
          <w:color w:val="000000"/>
        </w:rPr>
        <w:tab/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ab/>
      </w:r>
      <w:r>
        <w:rPr>
          <w:rFonts w:cs="Times New Roman" w:ascii="Times New Roman" w:hAnsi="Times New Roman"/>
          <w:color w:val="000000"/>
        </w:rPr>
        <w:t>9/29/00 – Power Trading calc’d their book on 30</w:t>
      </w:r>
      <w:r>
        <w:rPr>
          <w:rFonts w:cs="Times New Roman" w:ascii="Times New Roman" w:hAnsi="Times New Roman"/>
          <w:color w:val="000000"/>
          <w:vertAlign w:val="superscript"/>
        </w:rPr>
        <w:t>th</w:t>
      </w:r>
      <w:r>
        <w:rPr>
          <w:rFonts w:cs="Times New Roman" w:ascii="Times New Roman" w:hAnsi="Times New Roman"/>
          <w:color w:val="000000"/>
        </w:rPr>
        <w:t xml:space="preserve"> and not 29</w:t>
      </w:r>
      <w:r>
        <w:rPr>
          <w:rFonts w:cs="Times New Roman" w:ascii="Times New Roman" w:hAnsi="Times New Roman"/>
          <w:color w:val="000000"/>
          <w:vertAlign w:val="superscript"/>
        </w:rPr>
        <w:t>th</w:t>
      </w:r>
      <w:r>
        <w:rPr>
          <w:rFonts w:cs="Times New Roman" w:ascii="Times New Roman" w:hAnsi="Times New Roman"/>
          <w:color w:val="000000"/>
        </w:rPr>
        <w:t xml:space="preserve"> because of end of month, therefore cash flows not correct on 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>29</w:t>
      </w:r>
      <w:r>
        <w:rPr>
          <w:rFonts w:cs="Times New Roman" w:ascii="Times New Roman" w:hAnsi="Times New Roman"/>
          <w:color w:val="000000"/>
          <w:vertAlign w:val="superscript"/>
        </w:rPr>
        <w:t>th</w:t>
      </w:r>
      <w:r>
        <w:rPr>
          <w:rFonts w:cs="Times New Roman" w:ascii="Times New Roman" w:hAnsi="Times New Roman"/>
          <w:color w:val="000000"/>
        </w:rPr>
        <w:t>.  Canadian gas posted incorrect curves, which affected cash flows.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Other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/mnt/main-storage/datasets/enron-docs/doc/TaskForce_9_29.doc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  <w:sz w:val="20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2000-09-28T18:59:00Z</dcterms:created>
  <dc:creator>ECT</dc:creator>
  <dc:description/>
  <dc:language>en-CA</dc:language>
  <cp:lastModifiedBy>cabel</cp:lastModifiedBy>
  <cp:lastPrinted>2000-10-02T11:29:00Z</cp:lastPrinted>
  <dcterms:modified xsi:type="dcterms:W3CDTF">2000-10-02T13:59:00Z</dcterms:modified>
  <cp:revision>6</cp:revision>
  <dc:subject/>
  <dc:title>Eron Capital &amp; Trade Resources Memo</dc:title>
</cp:coreProperties>
</file>