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495" w:hRule="exact"/>
        </w:trPr>
        <w:tc>
          <w:tcPr>
            <w:tcW w:w="708" w:type="dxa"/>
            <w:tcBorders/>
          </w:tcPr>
          <w:p>
            <w:pPr>
              <w:pStyle w:val="Normal"/>
              <w:widowControl/>
              <w:ind w:start="-180" w:end="0"/>
              <w:jc w:val="end"/>
              <w:rPr/>
            </w:pPr>
            <w:r>
              <w:rPr>
                <w:rFonts w:cs="Times New Roman" w:ascii="Times New Roman" w:hAnsi="Times New Roman"/>
                <w:sz w:val="16"/>
              </w:rPr>
              <w:t>To</w:t>
            </w:r>
            <w:r>
              <w:rPr>
                <w:sz w:val="16"/>
              </w:rPr>
              <w:t>:</w:t>
            </w:r>
          </w:p>
        </w:tc>
        <w:tc>
          <w:tcPr>
            <w:tcW w:w="6045" w:type="dxa"/>
            <w:tcBorders/>
          </w:tcPr>
          <w:p>
            <w:pPr>
              <w:pStyle w:val="To"/>
              <w:widowControl/>
              <w:rPr>
                <w:rFonts w:ascii="Times New Roman" w:hAnsi="Times New Roman" w:cs="Times New Roman"/>
              </w:rPr>
            </w:pPr>
            <w:r>
              <w:rPr>
                <w:rFonts w:cs="Times New Roman" w:ascii="Times New Roman" w:hAnsi="Times New Roman"/>
              </w:rPr>
              <w:t>Sally Beck</w:t>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tc>
        <w:tc>
          <w:tcPr>
            <w:tcW w:w="990" w:type="dxa"/>
            <w:tcBorders/>
          </w:tcPr>
          <w:p>
            <w:pPr>
              <w:pStyle w:val="Normal"/>
              <w:widowContro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widowControl/>
              <w:snapToGrid w:val="false"/>
              <w:rPr>
                <w:rFonts w:ascii="Times New Roman" w:hAnsi="Times New Roman" w:cs="Times New Roman"/>
              </w:rPr>
            </w:pPr>
            <w:r>
              <w:rPr>
                <w:rFonts w:cs="Times New Roman" w:ascii="Times New Roman" w:hAnsi="Times New Roman"/>
              </w:rPr>
            </w:r>
          </w:p>
        </w:tc>
      </w:tr>
      <w:tr>
        <w:trPr>
          <w:trHeight w:val="216"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477" w:hRule="exact"/>
        </w:trPr>
        <w:tc>
          <w:tcPr>
            <w:tcW w:w="708" w:type="dxa"/>
            <w:tcBorders/>
          </w:tcPr>
          <w:p>
            <w:pPr>
              <w:pStyle w:val="Normal"/>
              <w:widowControl/>
              <w:ind w:start="-180" w:end="0"/>
              <w:jc w:val="end"/>
              <w:rPr/>
            </w:pPr>
            <w:r>
              <w:rPr>
                <w:rFonts w:cs="Times New Roman" w:ascii="Times New Roman" w:hAnsi="Times New Roman"/>
                <w:sz w:val="16"/>
              </w:rPr>
              <w:t>From</w:t>
            </w:r>
            <w:r>
              <w:rPr>
                <w:sz w:val="16"/>
              </w:rPr>
              <w:t>:</w:t>
            </w:r>
          </w:p>
        </w:tc>
        <w:tc>
          <w:tcPr>
            <w:tcW w:w="6045" w:type="dxa"/>
            <w:tcBorders/>
          </w:tcPr>
          <w:p>
            <w:pPr>
              <w:pStyle w:val="From"/>
              <w:widowControl/>
              <w:rPr>
                <w:rFonts w:ascii="Times New Roman" w:hAnsi="Times New Roman" w:cs="Times New Roman"/>
              </w:rPr>
            </w:pPr>
            <w:r>
              <w:rPr>
                <w:rFonts w:cs="Times New Roman" w:ascii="Times New Roman" w:hAnsi="Times New Roman"/>
              </w:rPr>
              <w:t>Shona Wilson/Chris Abel</w:t>
            </w:r>
          </w:p>
        </w:tc>
        <w:tc>
          <w:tcPr>
            <w:tcW w:w="990"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Department:</w:t>
            </w:r>
          </w:p>
        </w:tc>
        <w:tc>
          <w:tcPr>
            <w:tcW w:w="2965" w:type="dxa"/>
            <w:tcBorders/>
          </w:tcPr>
          <w:p>
            <w:pPr>
              <w:pStyle w:val="Department"/>
              <w:widowControl/>
              <w:rPr>
                <w:rFonts w:ascii="Times New Roman" w:hAnsi="Times New Roman" w:cs="Times New Roman"/>
              </w:rPr>
            </w:pPr>
            <w:bookmarkStart w:id="0" w:name="From"/>
            <w:bookmarkEnd w:id="0"/>
            <w:r>
              <w:rPr>
                <w:rFonts w:cs="Times New Roman" w:ascii="Times New Roman" w:hAnsi="Times New Roman"/>
              </w:rPr>
              <w:t>Global Energy Operations</w:t>
            </w:r>
          </w:p>
        </w:tc>
      </w:tr>
      <w:tr>
        <w:trPr>
          <w:trHeight w:val="117"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432" w:hRule="exact"/>
        </w:trPr>
        <w:tc>
          <w:tcPr>
            <w:tcW w:w="708" w:type="dxa"/>
            <w:tcBorders>
              <w:bottom w:val="single" w:sz="12" w:space="0" w:color="000000"/>
            </w:tcBorders>
          </w:tcPr>
          <w:p>
            <w:pPr>
              <w:pStyle w:val="Normal"/>
              <w:widowControl/>
              <w:ind w:start="-180" w:end="0"/>
              <w:jc w:val="end"/>
              <w:rPr/>
            </w:pPr>
            <w:r>
              <w:rPr>
                <w:rFonts w:cs="Times New Roman" w:ascii="Times New Roman" w:hAnsi="Times New Roman"/>
                <w:sz w:val="16"/>
              </w:rPr>
              <w:t>Subject</w:t>
            </w:r>
            <w:r>
              <w:rPr>
                <w:sz w:val="16"/>
              </w:rPr>
              <w:t>:</w:t>
            </w:r>
          </w:p>
        </w:tc>
        <w:tc>
          <w:tcPr>
            <w:tcW w:w="6045" w:type="dxa"/>
            <w:tcBorders>
              <w:bottom w:val="single" w:sz="12" w:space="0" w:color="000000"/>
            </w:tcBorders>
          </w:tcPr>
          <w:p>
            <w:pPr>
              <w:pStyle w:val="Subject"/>
              <w:widowControl/>
              <w:rPr>
                <w:rFonts w:ascii="Times New Roman" w:hAnsi="Times New Roman" w:cs="Times New Roman"/>
              </w:rPr>
            </w:pPr>
            <w:r>
              <w:rPr>
                <w:rFonts w:cs="Times New Roman" w:ascii="Times New Roman" w:hAnsi="Times New Roman"/>
              </w:rPr>
              <w:t>Summary of Issues – Week of Nov 1 to Nov 9, 2000</w:t>
            </w:r>
          </w:p>
        </w:tc>
        <w:tc>
          <w:tcPr>
            <w:tcW w:w="990"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Date:</w:t>
            </w:r>
          </w:p>
        </w:tc>
        <w:tc>
          <w:tcPr>
            <w:tcW w:w="2965" w:type="dxa"/>
            <w:tcBorders>
              <w:bottom w:val="single" w:sz="12" w:space="0" w:color="000000"/>
            </w:tcBorders>
          </w:tcPr>
          <w:p>
            <w:pPr>
              <w:pStyle w:val="Date"/>
              <w:widowControl/>
              <w:rPr>
                <w:rFonts w:ascii="Times New Roman" w:hAnsi="Times New Roman" w:cs="Times New Roman"/>
              </w:rPr>
            </w:pPr>
            <w:r>
              <w:rPr>
                <w:rFonts w:cs="Times New Roman" w:ascii="Times New Roman" w:hAnsi="Times New Roman"/>
              </w:rPr>
              <w:t>November 9, 2000</w:t>
            </w:r>
          </w:p>
        </w:tc>
      </w:tr>
    </w:tbl>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bookmarkStart w:id="1" w:name="StartOfMemo"/>
      <w:bookmarkStart w:id="2" w:name="StartOfMemo"/>
      <w:bookmarkEnd w:id="2"/>
    </w:p>
    <w:p>
      <w:pPr>
        <w:pStyle w:val="Department"/>
        <w:widowControl/>
        <w:tabs>
          <w:tab w:val="left" w:pos="2160" w:leader="none"/>
          <w:tab w:val="left" w:pos="4500" w:leader="none"/>
          <w:tab w:val="left" w:pos="7020" w:leader="none"/>
          <w:tab w:val="left" w:pos="9810" w:leader="none"/>
        </w:tabs>
        <w:ind w:start="90" w:end="0"/>
        <w:jc w:val="both"/>
        <w:rPr>
          <w:rFonts w:ascii="Times New Roman" w:hAnsi="Times New Roman" w:cs="Times New Roman"/>
          <w:color w:val="000000"/>
        </w:rPr>
      </w:pPr>
      <w:r>
        <w:rPr>
          <w:rFonts w:cs="Times New Roman" w:ascii="Times New Roman" w:hAnsi="Times New Roman"/>
          <w:b/>
          <w:color w:val="000000"/>
        </w:rPr>
        <w:t>A.  Official Books</w:t>
        <w:tab/>
        <w:tab/>
      </w:r>
    </w:p>
    <w:p>
      <w:pPr>
        <w:pStyle w:val="Department"/>
        <w:widowControl/>
        <w:tabs>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 xml:space="preserve">                    </w:t>
      </w:r>
    </w:p>
    <w:p>
      <w:pPr>
        <w:pStyle w:val="Department"/>
        <w:widowControl/>
        <w:tabs>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u w:val="single"/>
        </w:rPr>
      </w:pPr>
      <w:r>
        <w:rPr>
          <w:rFonts w:cs="Times New Roman" w:ascii="Times New Roman" w:hAnsi="Times New Roman"/>
          <w:color w:val="000000"/>
          <w:u w:val="single"/>
        </w:rPr>
        <w:t>November 1, 2000</w:t>
      </w:r>
    </w:p>
    <w:p>
      <w:pPr>
        <w:pStyle w:val="Department"/>
        <w:widowControl/>
        <w:numPr>
          <w:ilvl w:val="0"/>
          <w:numId w:val="6"/>
        </w:numPr>
        <w:tabs>
          <w:tab w:val="left" w:pos="540" w:leader="none"/>
          <w:tab w:val="left" w:pos="2160" w:leader="none"/>
          <w:tab w:val="left" w:pos="4500" w:leader="none"/>
          <w:tab w:val="left" w:pos="5580" w:leader="none"/>
          <w:tab w:val="left" w:pos="7020" w:leader="none"/>
          <w:tab w:val="left" w:pos="9810" w:leader="none"/>
        </w:tabs>
        <w:ind w:hanging="0" w:start="90" w:end="0"/>
        <w:jc w:val="both"/>
        <w:rPr>
          <w:rFonts w:ascii="Times New Roman" w:hAnsi="Times New Roman" w:cs="Times New Roman"/>
          <w:color w:val="000000"/>
        </w:rPr>
      </w:pPr>
      <w:r>
        <w:rPr>
          <w:rFonts w:cs="Times New Roman" w:ascii="Times New Roman" w:hAnsi="Times New Roman"/>
          <w:color w:val="000000"/>
        </w:rPr>
        <w:t>UK (Continental Power) – EU-PWR-BILATERAL – Timing issue – feeds did not come in on time.</w:t>
      </w:r>
    </w:p>
    <w:p>
      <w:pPr>
        <w:pStyle w:val="Department"/>
        <w:widowControl/>
        <w:numPr>
          <w:ilvl w:val="0"/>
          <w:numId w:val="6"/>
        </w:numPr>
        <w:tabs>
          <w:tab w:val="left" w:pos="540" w:leader="none"/>
          <w:tab w:val="left" w:pos="2160" w:leader="none"/>
          <w:tab w:val="left" w:pos="4500" w:leader="none"/>
          <w:tab w:val="left" w:pos="5580" w:leader="none"/>
          <w:tab w:val="left" w:pos="7020" w:leader="none"/>
          <w:tab w:val="left" w:pos="9810" w:leader="none"/>
        </w:tabs>
        <w:ind w:hanging="0" w:start="90" w:end="0"/>
        <w:jc w:val="both"/>
        <w:rPr>
          <w:rFonts w:ascii="Times New Roman" w:hAnsi="Times New Roman" w:cs="Times New Roman"/>
          <w:color w:val="000000"/>
        </w:rPr>
      </w:pPr>
      <w:r>
        <w:rPr>
          <w:rFonts w:cs="Times New Roman" w:ascii="Times New Roman" w:hAnsi="Times New Roman"/>
          <w:color w:val="000000"/>
        </w:rPr>
        <w:t>Steel – SCRC-PRC - Book administrator forgot to officialize.</w:t>
      </w:r>
    </w:p>
    <w:p>
      <w:pPr>
        <w:pStyle w:val="Department"/>
        <w:widowControl/>
        <w:tabs>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36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u w:val="single"/>
        </w:rPr>
        <w:t>November 2, 2000</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Merchant – CY-EXPLOR-BAS – Medicalc vs portcalc.  One system says it was officialized, the other showed it was not officialized.</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Merchant – CY-EXPLOR-PRC – Medicalc vs portcalc.  One system says it was officialized, the other showed it was not officialized</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Liquids - DABHOL-HO-AFF-IDX – This is an affiliate book.  The book admin did not understand the need to officialize it.</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Coal - EQ-COAL-EAST-PRC - Medicalc vs portcalc.  One system says it was officialized, the other showed it was not officialized.</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Coal - EQ-COAL-JUPITER-PRC PRC - Medicalc vs portcalc.  One system says it was officialized, the other showed it was not officialized.</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Merchant - EQUITY-CGAS-BAS - Medicalc vs portcalc.  One system says it was officialized, the other showed it was not officialized.</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Merchant - EQUITY-CGAS-PRC - Medicalc vs portcalc.  One system says it was officialized, the other showed it was not officialized.</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Merchant - EQUITY-MARINER-BAS PRC - Medicalc vs portcalc.  One system says it was officialized, the other showed it was not officialized.</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Merchant - EQUITY-MARINER-PRC PRC - Medicalc vs portcalc.  One system says it was officialized, the other showed it was not officialized.</w:t>
      </w:r>
    </w:p>
    <w:p>
      <w:pPr>
        <w:pStyle w:val="Department"/>
        <w:widowControl/>
        <w:numPr>
          <w:ilvl w:val="0"/>
          <w:numId w:val="2"/>
        </w:numPr>
        <w:tabs>
          <w:tab w:val="left" w:pos="54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UK – Everything had been officialized but only Continental Power came across</w:t>
      </w:r>
    </w:p>
    <w:p>
      <w:pPr>
        <w:pStyle w:val="Department"/>
        <w:widowControl/>
        <w:tabs>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Normal"/>
        <w:spacing w:lineRule="atLeast" w:line="240"/>
        <w:rPr/>
      </w:pPr>
      <w:r>
        <w:rPr>
          <w:rFonts w:cs="Times New Roman" w:ascii="Times New Roman" w:hAnsi="Times New Roman"/>
          <w:i/>
          <w:color w:val="000000"/>
          <w:sz w:val="20"/>
        </w:rPr>
        <w:t xml:space="preserve">Note: Resolution to medicalc vs port calc - </w:t>
      </w:r>
      <w:r>
        <w:rPr>
          <w:rFonts w:cs="Times New Roman" w:ascii="Times New Roman" w:hAnsi="Times New Roman"/>
          <w:i/>
          <w:color w:val="000000"/>
          <w:sz w:val="20"/>
          <w:lang w:eastAsia="en-US"/>
        </w:rPr>
        <w:t>MetaId 69547 was officialized Nov. 2, 2000 at 16:36 pm, through MetaCalc.</w:t>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To actually officialize the PostIds in a MetaCalc, a separate connection is made to the database to officialize each PostId.</w:t>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At around the same time as this MetaId was officialized, the TAGG/ERMS database was experiencing database connection problems, as the maximum number of database connections was being exceeded.</w:t>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t>There was an error message in the database that logged the failure to officialize the PostIds, but currently no feedback is provided to the user of such failures.</w:t>
      </w:r>
    </w:p>
    <w:p>
      <w:pPr>
        <w:pStyle w:val="Normal"/>
        <w:spacing w:lineRule="atLeast" w:line="240"/>
        <w:rPr>
          <w:rFonts w:ascii="Times New Roman" w:hAnsi="Times New Roman" w:cs="Times New Roman"/>
          <w:i/>
          <w:i/>
          <w:color w:val="000000"/>
          <w:sz w:val="20"/>
          <w:lang w:eastAsia="en-US"/>
        </w:rPr>
      </w:pPr>
      <w:r>
        <w:rPr>
          <w:rFonts w:cs="Times New Roman" w:ascii="Times New Roman" w:hAnsi="Times New Roman"/>
          <w:i/>
          <w:color w:val="000000"/>
          <w:sz w:val="20"/>
          <w:lang w:eastAsia="en-US"/>
        </w:rPr>
      </w:r>
    </w:p>
    <w:p>
      <w:pPr>
        <w:pStyle w:val="Normal"/>
        <w:spacing w:lineRule="atLeast" w:line="240"/>
        <w:rPr>
          <w:i/>
          <w:i/>
          <w:sz w:val="20"/>
        </w:rPr>
      </w:pPr>
      <w:r>
        <w:rPr>
          <w:rFonts w:cs="Times New Roman" w:ascii="Times New Roman" w:hAnsi="Times New Roman"/>
          <w:i/>
          <w:sz w:val="20"/>
          <w:lang w:eastAsia="en-US"/>
        </w:rPr>
        <w:t>Our DBA will be increasing the maximum number of connections from 900 to 1200 this weekend, and we will fix the officialization procedure in MetaCalc to ensure that both MetaId and PostIds are officialized together</w:t>
      </w:r>
    </w:p>
    <w:p>
      <w:pPr>
        <w:pStyle w:val="Department"/>
        <w:widowControl/>
        <w:tabs>
          <w:tab w:val="left" w:pos="2160" w:leader="none"/>
          <w:tab w:val="left" w:pos="4500" w:leader="none"/>
          <w:tab w:val="left" w:pos="5580" w:leader="none"/>
          <w:tab w:val="left" w:pos="7020" w:leader="none"/>
          <w:tab w:val="left" w:pos="9810" w:leader="none"/>
        </w:tabs>
        <w:jc w:val="both"/>
        <w:rPr>
          <w:rFonts w:ascii="Times New Roman" w:hAnsi="Times New Roman" w:cs="Times New Roman"/>
          <w:i/>
          <w:i/>
          <w:color w:val="000000"/>
          <w:sz w:val="20"/>
        </w:rPr>
      </w:pPr>
      <w:r>
        <w:rPr>
          <w:rFonts w:cs="Times New Roman" w:ascii="Times New Roman" w:hAnsi="Times New Roman"/>
          <w:i/>
          <w:color w:val="000000"/>
          <w:sz w:val="20"/>
        </w:rPr>
      </w:r>
    </w:p>
    <w:p>
      <w:pPr>
        <w:pStyle w:val="Department"/>
        <w:widowControl/>
        <w:tabs>
          <w:tab w:val="left" w:pos="36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u w:val="single"/>
        </w:rPr>
        <w:t>November 3, 2000</w:t>
      </w:r>
    </w:p>
    <w:p>
      <w:pPr>
        <w:pStyle w:val="Department"/>
        <w:widowControl/>
        <w:numPr>
          <w:ilvl w:val="0"/>
          <w:numId w:val="5"/>
        </w:numPr>
        <w:tabs>
          <w:tab w:val="left" w:pos="360" w:leader="none"/>
          <w:tab w:val="left" w:pos="810" w:leader="none"/>
          <w:tab w:val="left" w:pos="2160" w:leader="none"/>
          <w:tab w:val="left" w:pos="4500" w:leader="none"/>
          <w:tab w:val="left" w:pos="5580" w:leader="none"/>
          <w:tab w:val="left" w:pos="7020" w:leader="none"/>
          <w:tab w:val="left" w:pos="9810" w:leader="none"/>
        </w:tabs>
        <w:ind w:hanging="360" w:start="450" w:end="0"/>
        <w:jc w:val="both"/>
        <w:rPr>
          <w:rFonts w:ascii="Times New Roman" w:hAnsi="Times New Roman" w:cs="Times New Roman"/>
          <w:color w:val="000000"/>
        </w:rPr>
      </w:pPr>
      <w:r>
        <w:rPr>
          <w:rFonts w:cs="Times New Roman" w:ascii="Times New Roman" w:hAnsi="Times New Roman"/>
          <w:color w:val="000000"/>
        </w:rPr>
        <w:t>Canadian Power – CANADAPWRWEST-PRC – This Enpower book was not officialized.</w:t>
      </w:r>
    </w:p>
    <w:p>
      <w:pPr>
        <w:pStyle w:val="Department"/>
        <w:widowControl/>
        <w:tabs>
          <w:tab w:val="left" w:pos="81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36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u w:val="single"/>
        </w:rPr>
        <w:t>November 6, 2000</w:t>
      </w:r>
    </w:p>
    <w:p>
      <w:pPr>
        <w:pStyle w:val="Department"/>
        <w:widowControl/>
        <w:numPr>
          <w:ilvl w:val="0"/>
          <w:numId w:val="4"/>
        </w:numPr>
        <w:tabs>
          <w:tab w:val="left" w:pos="450" w:leader="none"/>
          <w:tab w:val="left" w:pos="2160" w:leader="none"/>
          <w:tab w:val="left" w:pos="4500" w:leader="none"/>
          <w:tab w:val="left" w:pos="5580" w:leader="none"/>
          <w:tab w:val="left" w:pos="7020" w:leader="none"/>
          <w:tab w:val="left" w:pos="9810" w:leader="none"/>
        </w:tabs>
        <w:ind w:hanging="270" w:start="360" w:end="0"/>
        <w:jc w:val="both"/>
        <w:rPr>
          <w:rFonts w:ascii="Times New Roman" w:hAnsi="Times New Roman" w:cs="Times New Roman"/>
          <w:color w:val="000000"/>
        </w:rPr>
      </w:pPr>
      <w:r>
        <w:rPr>
          <w:rFonts w:cs="Times New Roman" w:ascii="Times New Roman" w:hAnsi="Times New Roman"/>
          <w:color w:val="000000"/>
        </w:rPr>
        <w:t>UK Gas – the MtM process “fell over”, they had to rerun the book because of it, and the curves loaded were incorrect.  As a result, the DPR for London will be only an estimate.</w:t>
      </w:r>
    </w:p>
    <w:p>
      <w:pPr>
        <w:pStyle w:val="Department"/>
        <w:widowControl/>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36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u w:val="single"/>
        </w:rPr>
        <w:t>November 7, 2000</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None</w:t>
      </w:r>
    </w:p>
    <w:p>
      <w:pPr>
        <w:pStyle w:val="Department"/>
        <w:widowControl/>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36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u w:val="single"/>
        </w:rPr>
        <w:t>November 8, 2000</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EES – EES-EST-FWD-XL-PRC – problem with upload of spreadsheets (Burton’s computer was being fixed and the fix destroyed some upload capability).</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EES – EES-WST-FWD-XL-PRC – problem with upload of spreadsheets (Burton’s computer was being fixed and the fix destroyed some upload capability).</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Argentina – EI-ARG-PWR-IDX – problem with upload of spreadsheets (Burton’s computer was being fixed and the fix destroyed some upload capability).</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Argentina – EI-ARG-PWR-PRC – problem with upload of spreadsheets (Burton’s computer was being fixed and the fix destroyed some upload capability).</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Brazil – EI-BRAZIL-PWR-PRC – problem with upload of spreadsheets (Burton’s computer was being fixed and the fix destroyed some upload capability).</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Argentina – EI-SC-GASLX-PRC – problem with upload of spreadsheets (Burton’s computer was being fixed and the fix destroyed some upload capability).</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Argentina – EI-SC-XL-PRC – problem with upload of spreadsheets (Burton’s computer was being fixed and the fix destroyed some upload capability).</w:t>
      </w:r>
    </w:p>
    <w:p>
      <w:pPr>
        <w:pStyle w:val="Department"/>
        <w:widowControl/>
        <w:numPr>
          <w:ilvl w:val="0"/>
          <w:numId w:val="3"/>
        </w:numPr>
        <w:tabs>
          <w:tab w:val="left" w:pos="45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Metals - MG-AGRI-COCOA-PRC – problem with upload of spreadsheets (Burton’s computer was being fixed and the fix destroyed some upload capability).</w:t>
      </w:r>
    </w:p>
    <w:p>
      <w:pPr>
        <w:pStyle w:val="Department"/>
        <w:widowControl/>
        <w:tabs>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5580" w:leader="none"/>
          <w:tab w:val="left" w:pos="7020" w:leader="none"/>
          <w:tab w:val="left" w:pos="9810" w:leader="none"/>
        </w:tabs>
        <w:jc w:val="both"/>
        <w:rPr/>
      </w:pPr>
      <w:r>
        <w:rPr>
          <w:rFonts w:cs="Times New Roman" w:ascii="Times New Roman" w:hAnsi="Times New Roman"/>
          <w:color w:val="000000"/>
        </w:rPr>
        <w:t xml:space="preserve"> </w:t>
      </w:r>
      <w:r>
        <w:rPr>
          <w:rFonts w:cs="Times New Roman" w:ascii="Times New Roman" w:hAnsi="Times New Roman"/>
          <w:b/>
          <w:color w:val="000000"/>
        </w:rPr>
        <w:t>B.  Value at Risk</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11/1/00 – Soft commodities had to be rerun because the trader wrote the wrong commodity on a deal ticket, Steel had to be rerun</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11/2/00 – No issues</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11/3/00 – Had to rerun VAR because 1) Canadian Enpower book not officialized and 2) certain liquid’s books had to be rerun because ERAC spreadsheet formatted incorrectly.</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11/6/00 – No issues</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11/7/00 – Liquids VAR was rerun because a curve did not load properly in ERMS</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11/8/00 -  VAR had to be rerun due to the issues noted above</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color w:val="000000"/>
        </w:rPr>
        <w:tab/>
      </w:r>
    </w:p>
    <w:p>
      <w:pPr>
        <w:pStyle w:val="Department"/>
        <w:widowControl/>
        <w:tabs>
          <w:tab w:val="left" w:pos="2160" w:leader="none"/>
          <w:tab w:val="left" w:pos="4500" w:leader="none"/>
          <w:tab w:val="left" w:pos="5580" w:leader="none"/>
          <w:tab w:val="left" w:pos="7020" w:leader="none"/>
          <w:tab w:val="left" w:pos="9810" w:leader="none"/>
        </w:tabs>
        <w:ind w:start="90" w:end="0"/>
        <w:jc w:val="both"/>
        <w:rPr>
          <w:rFonts w:ascii="Times New Roman" w:hAnsi="Times New Roman" w:cs="Times New Roman"/>
          <w:b/>
          <w:color w:val="000000"/>
        </w:rPr>
      </w:pPr>
      <w:r>
        <w:rPr>
          <w:rFonts w:cs="Times New Roman" w:ascii="Times New Roman" w:hAnsi="Times New Roman"/>
          <w:b/>
          <w:color w:val="000000"/>
        </w:rPr>
        <w:t>C.  Cash Flow Issues</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11/1/00 – No issues</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11/2/00 – No issues</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11/3/00 –Canadian Enpower book not officialized, causing incomplete cash flow information.</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 xml:space="preserve">11/6/00 – No issues </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11/7/00 – J. Block data did not come over correctly.  Clara Carrington is discussing this with London to resolve (one explanation might be that cash flows might look different due to a deal change.</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11/8/00 – No issues</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ab/>
      </w:r>
    </w:p>
    <w:p>
      <w:pPr>
        <w:pStyle w:val="Department"/>
        <w:widowControl/>
        <w:tabs>
          <w:tab w:val="left" w:pos="360" w:leader="none"/>
          <w:tab w:val="left" w:pos="1170" w:leader="none"/>
          <w:tab w:val="left" w:pos="2160" w:leader="none"/>
          <w:tab w:val="left" w:pos="4500" w:leader="none"/>
          <w:tab w:val="left" w:pos="5580" w:leader="none"/>
          <w:tab w:val="left" w:pos="7020" w:leader="none"/>
          <w:tab w:val="left" w:pos="9810" w:leader="none"/>
        </w:tabs>
        <w:ind w:start="90"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5580" w:leader="none"/>
          <w:tab w:val="left" w:pos="7020" w:leader="none"/>
          <w:tab w:val="left" w:pos="9810" w:leader="none"/>
        </w:tabs>
        <w:ind w:start="90" w:end="0"/>
        <w:jc w:val="both"/>
        <w:rPr>
          <w:rFonts w:ascii="Times New Roman" w:hAnsi="Times New Roman" w:cs="Times New Roman"/>
          <w:b/>
          <w:color w:val="000000"/>
        </w:rPr>
      </w:pPr>
      <w:r>
        <w:rPr>
          <w:rFonts w:cs="Times New Roman" w:ascii="Times New Roman" w:hAnsi="Times New Roman"/>
          <w:b/>
          <w:color w:val="000000"/>
        </w:rPr>
        <w:t>D.  System Issues and Other</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11/2/00 – Liquids exchange curves – there were certain months in the curve skipped by the system.  They pull these from Reuters and although Reuters only quotes months that change (ie if Jan, Feb were the same price Feb would not be shown), this has never been a problem.</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11/3/00 – The UK had some feed problems.  As of 8:30 am (Houston time) only Nordic Power and Continental Power feeds had been completed</w:t>
      </w:r>
    </w:p>
    <w:p>
      <w:pPr>
        <w:pStyle w:val="Department"/>
        <w:widowControl/>
        <w:tabs>
          <w:tab w:val="left" w:pos="3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 xml:space="preserve"> </w:t>
      </w:r>
    </w:p>
    <w:p>
      <w:pPr>
        <w:pStyle w:val="Department"/>
        <w:widowControl/>
        <w:tabs>
          <w:tab w:val="left" w:pos="450" w:leader="none"/>
          <w:tab w:val="left" w:pos="2160" w:leader="none"/>
          <w:tab w:val="left" w:pos="4500" w:leader="none"/>
          <w:tab w:val="left" w:pos="5580" w:leader="none"/>
          <w:tab w:val="left" w:pos="7020" w:leader="none"/>
          <w:tab w:val="left" w:pos="9810" w:leader="none"/>
        </w:tabs>
        <w:ind w:start="90" w:end="0"/>
        <w:jc w:val="both"/>
        <w:rPr>
          <w:rFonts w:ascii="Times New Roman" w:hAnsi="Times New Roman" w:cs="Times New Roman"/>
          <w:color w:val="000000"/>
        </w:rPr>
      </w:pPr>
      <w:r>
        <w:rPr>
          <w:rFonts w:cs="Times New Roman" w:ascii="Times New Roman" w:hAnsi="Times New Roman"/>
          <w:color w:val="000000"/>
        </w:rPr>
        <w:t>11/6/00 - UK power feed was really slow.</w:t>
      </w:r>
    </w:p>
    <w:p>
      <w:pPr>
        <w:pStyle w:val="Department"/>
        <w:widowControl/>
        <w:tabs>
          <w:tab w:val="left" w:pos="450" w:leader="none"/>
          <w:tab w:val="left" w:pos="2160" w:leader="none"/>
          <w:tab w:val="left" w:pos="4500" w:leader="none"/>
          <w:tab w:val="left" w:pos="5580" w:leader="none"/>
          <w:tab w:val="left" w:pos="7020" w:leader="none"/>
          <w:tab w:val="left" w:pos="9810" w:leader="none"/>
        </w:tabs>
        <w:ind w:start="90"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450" w:leader="none"/>
          <w:tab w:val="left" w:pos="2160" w:leader="none"/>
          <w:tab w:val="left" w:pos="4500" w:leader="none"/>
          <w:tab w:val="left" w:pos="5580" w:leader="none"/>
          <w:tab w:val="left" w:pos="7020" w:leader="none"/>
          <w:tab w:val="left" w:pos="9810" w:leader="none"/>
        </w:tabs>
        <w:ind w:start="90" w:end="0"/>
        <w:jc w:val="both"/>
        <w:rPr>
          <w:rFonts w:ascii="Times New Roman" w:hAnsi="Times New Roman" w:cs="Times New Roman"/>
          <w:color w:val="000000"/>
        </w:rPr>
      </w:pPr>
      <w:r>
        <w:rPr>
          <w:rFonts w:cs="Times New Roman" w:ascii="Times New Roman" w:hAnsi="Times New Roman"/>
          <w:color w:val="000000"/>
        </w:rPr>
        <w:t>11/7/00 – London did not call in.  Per Ramesh everything was in or coming in with the exception of Nordic Power.</w:t>
      </w:r>
    </w:p>
    <w:p>
      <w:pPr>
        <w:pStyle w:val="Department"/>
        <w:widowControl/>
        <w:tabs>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36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ab/>
      </w:r>
    </w:p>
    <w:p>
      <w:pPr>
        <w:pStyle w:val="Department"/>
        <w:widowControl/>
        <w:tabs>
          <w:tab w:val="left" w:pos="360" w:leader="none"/>
          <w:tab w:val="left" w:pos="2160" w:leader="none"/>
          <w:tab w:val="left" w:pos="4500" w:leader="none"/>
          <w:tab w:val="left" w:pos="558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t>Please contact us if you have any questions (X39123 - Shona, X33102 - Chris)</w:t>
      </w:r>
    </w:p>
    <w:sectPr>
      <w:headerReference w:type="default" r:id="rId3"/>
      <w:headerReference w:type="first" r:id="rId4"/>
      <w:footerReference w:type="default" r:id="rId5"/>
      <w:footerReference w:type="first" r:id="rId6"/>
      <w:type w:val="nextPage"/>
      <w:pgSz w:w="12240" w:h="15840"/>
      <w:pgMar w:left="720" w:right="117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end"/>
      <w:rPr>
        <w:rStyle w:val="PageNumbe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/mnt/main-storage/datasets/enron-docs/doc/TaskForce_11_09-07a34bfbb2f60c691abfd09f85d2080ed21cadcfc50686999250e2f316da77a4.doc</w:t>
    </w:r>
    <w:r>
      <w:rPr>
        <w:sz w:val="16"/>
        <w:lang w:eastAsia="en-US"/>
      </w:rPr>
      <w:fldChar w:fldCharType="end"/>
    </w:r>
  </w:p>
  <w:p>
    <w:pPr>
      <w:pStyle w:val="Footer"/>
      <w:widowControl/>
      <w:tabs>
        <w:tab w:val="clear" w:pos="4320"/>
        <w:tab w:val="left" w:pos="3780" w:leader="none"/>
        <w:tab w:val="center" w:pos="7560" w:leader="none"/>
        <w:tab w:val="right" w:pos="8640" w:leader="none"/>
      </w:tabs>
      <w:jc w:val="center"/>
      <w:rPr/>
    </w:pPr>
    <w:r>
      <w:rPr>
        <w:b/>
        <w:sz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2658110</wp:posOffset>
              </wp:positionH>
              <wp:positionV relativeFrom="paragraph">
                <wp:posOffset>-94615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7.45pt;mso-position-vertical-relative:text;margin-left:209.3pt;mso-position-horizontal-relative:page">
              <v:fill opacity="0f"/>
              <v:textbox inset="0in,0in,0in,0in">
                <w:txbxContent>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720"/>
        </w:tabs>
        <w:ind w:start="360" w:hanging="360"/>
      </w:pPr>
      <w:rPr>
        <w:rFonts w:ascii="Symbol" w:hAnsi="Symbol" w:cs="Symbol" w:hint="default"/>
        <w:sz w:val="20"/>
      </w:rPr>
    </w:lvl>
  </w:abstractNum>
  <w:abstractNum w:abstractNumId="5">
    <w:lvl w:ilvl="0">
      <w:start w:val="1"/>
      <w:numFmt w:val="bullet"/>
      <w:lvlText w:val=""/>
      <w:lvlJc w:val="start"/>
      <w:pPr>
        <w:tabs>
          <w:tab w:val="num" w:pos="360"/>
        </w:tabs>
        <w:ind w:start="360" w:hanging="360"/>
      </w:pPr>
      <w:rPr>
        <w:rFonts w:ascii="Symbol" w:hAnsi="Symbol" w:cs="Symbol" w:hint="default"/>
        <w:sz w:val="20"/>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 w:val="left" w:pos="810" w:leader="none"/>
      </w:tabs>
      <w:jc w:val="center"/>
      <w:outlineLvl w:val="0"/>
    </w:pPr>
    <w:rPr>
      <w:rFonts w:ascii="Times New Roman" w:hAnsi="Times New Roman" w:cs="Times New Roman"/>
      <w:b/>
      <w:color w:val="000000"/>
      <w:sz w:val="20"/>
      <w:u w:val="single"/>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sz w:val="20"/>
    </w:rPr>
  </w:style>
  <w:style w:type="character" w:styleId="WW8Num7z0">
    <w:name w:val="WW8Num7z0"/>
    <w:qFormat/>
    <w:rPr>
      <w:rFonts w:ascii="Wingdings" w:hAnsi="Wingdings" w:cs="Wingdings"/>
    </w:rPr>
  </w:style>
  <w:style w:type="character" w:styleId="WW8Num8z0">
    <w:name w:val="WW8Num8z0"/>
    <w:qFormat/>
    <w:rPr>
      <w:rFonts w:ascii="Symbol" w:hAnsi="Symbol" w:cs="Symbol"/>
      <w:sz w:val="20"/>
    </w:rPr>
  </w:style>
  <w:style w:type="character" w:styleId="WW8Num9z0">
    <w:name w:val="WW8Num9z0"/>
    <w:qFormat/>
    <w:rPr>
      <w:rFonts w:ascii="Wingdings" w:hAnsi="Wingdings" w:cs="Wingdings"/>
      <w:sz w:val="20"/>
    </w:rPr>
  </w:style>
  <w:style w:type="character" w:styleId="WW8Num10z0">
    <w:name w:val="WW8Num10z0"/>
    <w:qFormat/>
    <w:rPr>
      <w:rFonts w:ascii="Symbol" w:hAnsi="Symbol" w:cs="Symbol"/>
    </w:rPr>
  </w:style>
  <w:style w:type="character" w:styleId="WW8Num11z0">
    <w:name w:val="WW8Num11z0"/>
    <w:qFormat/>
    <w:rPr>
      <w:rFonts w:ascii="Symbol" w:hAnsi="Symbol" w:cs="Symbol"/>
      <w:sz w:val="20"/>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sz w:val="20"/>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sz w:val="20"/>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sz w:val="20"/>
    </w:rPr>
  </w:style>
  <w:style w:type="character" w:styleId="WW8Num32z0">
    <w:name w:val="WW8Num32z0"/>
    <w:qFormat/>
    <w:rPr>
      <w:rFonts w:ascii="Symbol" w:hAnsi="Symbol" w:cs="Symbol"/>
      <w:color w:val="auto"/>
    </w:rPr>
  </w:style>
  <w:style w:type="character" w:styleId="WW8Num34z0">
    <w:name w:val="WW8Num34z0"/>
    <w:qFormat/>
    <w:rPr>
      <w:rFonts w:ascii="Symbol" w:hAnsi="Symbol" w:cs="Symbol"/>
    </w:rPr>
  </w:style>
  <w:style w:type="character" w:styleId="WW8Num35z0">
    <w:name w:val="WW8Num35z0"/>
    <w:qFormat/>
    <w:rPr>
      <w:rFonts w:ascii="Symbol" w:hAnsi="Symbol" w:cs="Symbol"/>
      <w:sz w:val="20"/>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sz w:val="20"/>
    </w:rPr>
  </w:style>
  <w:style w:type="character" w:styleId="WW8Num42z0">
    <w:name w:val="WW8Num42z0"/>
    <w:qFormat/>
    <w:rPr>
      <w:rFonts w:ascii="Symbol" w:hAnsi="Symbol" w:cs="Symbol"/>
    </w:rPr>
  </w:style>
  <w:style w:type="character" w:styleId="WW8Num43z0">
    <w:name w:val="WW8Num43z0"/>
    <w:qFormat/>
    <w:rPr>
      <w:rFonts w:ascii="Symbol" w:hAnsi="Symbol" w:cs="Symbol"/>
      <w:sz w:val="20"/>
    </w:rPr>
  </w:style>
  <w:style w:type="character" w:styleId="WW8Num44z0">
    <w:name w:val="WW8Num44z0"/>
    <w:qFormat/>
    <w:rPr>
      <w:rFonts w:ascii="Symbol" w:hAnsi="Symbol" w:cs="Symbol"/>
      <w:sz w:val="20"/>
    </w:rPr>
  </w:style>
  <w:style w:type="character" w:styleId="WW8Num45z0">
    <w:name w:val="WW8Num45z0"/>
    <w:qFormat/>
    <w:rPr>
      <w:rFonts w:ascii="Symbol" w:hAnsi="Symbol" w:cs="Symbol"/>
    </w:rPr>
  </w:style>
  <w:style w:type="character" w:styleId="WW8Num47z0">
    <w:name w:val="WW8Num47z0"/>
    <w:qFormat/>
    <w:rPr>
      <w:rFonts w:ascii="Wingdings" w:hAnsi="Wingdings" w:cs="Wingdings"/>
      <w:sz w:val="20"/>
    </w:rPr>
  </w:style>
  <w:style w:type="character" w:styleId="WW8Num48z0">
    <w:name w:val="WW8Num48z0"/>
    <w:qFormat/>
    <w:rPr>
      <w:rFonts w:ascii="Symbol" w:hAnsi="Symbol" w:cs="Symbol"/>
      <w:sz w:val="20"/>
    </w:rPr>
  </w:style>
  <w:style w:type="character" w:styleId="WW8Num49z0">
    <w:name w:val="WW8Num49z0"/>
    <w:qFormat/>
    <w:rPr/>
  </w:style>
  <w:style w:type="character" w:styleId="WW8Num50z0">
    <w:name w:val="WW8Num50z0"/>
    <w:qFormat/>
    <w:rPr/>
  </w:style>
  <w:style w:type="character" w:styleId="WW8Num51z0">
    <w:name w:val="WW8Num51z0"/>
    <w:qFormat/>
    <w:rPr>
      <w:rFonts w:ascii="Symbol" w:hAnsi="Symbol" w:cs="Symbol"/>
      <w:sz w:val="20"/>
    </w:rPr>
  </w:style>
  <w:style w:type="character" w:styleId="WW8Num52z0">
    <w:name w:val="WW8Num52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2000-11-06T11:23:00Z</dcterms:created>
  <dc:creator>ECT</dc:creator>
  <dc:description/>
  <dc:language>en-CA</dc:language>
  <cp:lastModifiedBy>swilson5</cp:lastModifiedBy>
  <cp:lastPrinted>2000-11-09T11:07:00Z</cp:lastPrinted>
  <dcterms:modified xsi:type="dcterms:W3CDTF">2000-11-09T18:05:00Z</dcterms:modified>
  <cp:revision>35</cp:revision>
  <dc:subject/>
  <dc:title>Eron Capital &amp; Trade Resources Memo</dc:title>
</cp:coreProperties>
</file>