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180" w:leader="none"/>
        </w:tabs>
        <w:jc w:val="center"/>
        <w:rPr>
          <w:b/>
          <w:smallCaps/>
          <w:sz w:val="28"/>
        </w:rPr>
      </w:pPr>
      <w:r>
        <w:rPr>
          <w:b/>
          <w:smallCaps/>
          <w:sz w:val="28"/>
        </w:rPr>
        <w:t>Tammy Brown</w:t>
      </w:r>
    </w:p>
    <w:p>
      <w:pPr>
        <w:pStyle w:val="Normal"/>
        <w:tabs>
          <w:tab w:val="clear" w:pos="720"/>
          <w:tab w:val="right" w:pos="9180" w:leader="none"/>
        </w:tabs>
        <w:jc w:val="center"/>
        <w:rPr>
          <w:sz w:val="20"/>
        </w:rPr>
      </w:pPr>
      <w:r>
        <w:rPr>
          <w:sz w:val="20"/>
        </w:rPr>
        <w:t>3003 Windchase Boulevard, #306</w:t>
      </w:r>
    </w:p>
    <w:p>
      <w:pPr>
        <w:pStyle w:val="MDCKBasic"/>
        <w:jc w:val="center"/>
        <w:rPr>
          <w:sz w:val="20"/>
        </w:rPr>
      </w:pPr>
      <w:r>
        <w:rPr>
          <w:sz w:val="20"/>
        </w:rPr>
        <w:t>Houston, Texas  77082</w:t>
      </w:r>
    </w:p>
    <w:p>
      <w:pPr>
        <w:pStyle w:val="Normal"/>
        <w:jc w:val="center"/>
        <w:rPr>
          <w:sz w:val="20"/>
        </w:rPr>
      </w:pPr>
      <w:r>
        <w:rPr>
          <w:sz w:val="20"/>
        </w:rPr>
        <w:t>Home:  (281) 556-8041 / Office:  (713) 220-3933</w:t>
      </w:r>
    </w:p>
    <w:p>
      <w:pPr>
        <w:pStyle w:val="Normal"/>
        <w:rPr>
          <w:sz w:val="20"/>
        </w:rPr>
      </w:pPr>
      <w:r>
        <w:rPr>
          <w:sz w:val="20"/>
        </w:rPr>
      </w:r>
    </w:p>
    <w:p>
      <w:pPr>
        <w:pStyle w:val="Normal"/>
        <w:rPr>
          <w:sz w:val="20"/>
        </w:rPr>
      </w:pPr>
      <w:r>
        <w:rPr>
          <w:sz w:val="20"/>
        </w:rPr>
      </w:r>
    </w:p>
    <w:p>
      <w:pPr>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pP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7398"/>
      </w:tblGrid>
      <w:tr>
        <w:trPr/>
        <w:tc>
          <w:tcPr>
            <w:tcW w:w="2178" w:type="dxa"/>
            <w:tcBorders/>
          </w:tcPr>
          <w:p>
            <w:pPr>
              <w:pStyle w:val="Normal"/>
              <w:rPr>
                <w:b/>
                <w:sz w:val="20"/>
              </w:rPr>
            </w:pPr>
            <w:r>
              <w:rPr>
                <w:b/>
                <w:sz w:val="20"/>
              </w:rPr>
              <w:t>March 2001 – Present</w:t>
            </w:r>
          </w:p>
        </w:tc>
        <w:tc>
          <w:tcPr>
            <w:tcW w:w="7398" w:type="dxa"/>
            <w:tcBorders/>
          </w:tcPr>
          <w:p>
            <w:pPr>
              <w:pStyle w:val="Normal"/>
              <w:rPr>
                <w:b/>
                <w:sz w:val="20"/>
              </w:rPr>
            </w:pPr>
            <w:r>
              <w:rPr>
                <w:b/>
                <w:sz w:val="20"/>
              </w:rPr>
              <w:t>Andrews &amp; Kurth, L.L.P.</w:t>
            </w:r>
          </w:p>
          <w:p>
            <w:pPr>
              <w:pStyle w:val="Normal"/>
              <w:rPr>
                <w:b/>
                <w:sz w:val="20"/>
              </w:rPr>
            </w:pPr>
            <w:r>
              <w:rPr>
                <w:b/>
                <w:sz w:val="20"/>
              </w:rPr>
              <w:t>Houston, Texas</w:t>
            </w:r>
          </w:p>
          <w:p>
            <w:pPr>
              <w:pStyle w:val="Normal"/>
              <w:rPr>
                <w:bCs/>
                <w:sz w:val="20"/>
              </w:rPr>
            </w:pPr>
            <w:r>
              <w:rPr>
                <w:bCs/>
                <w:sz w:val="20"/>
              </w:rPr>
              <w:t>Legal Secretary - Tax; Public Finance</w:t>
            </w:r>
          </w:p>
        </w:tc>
      </w:tr>
      <w:tr>
        <w:trPr/>
        <w:tc>
          <w:tcPr>
            <w:tcW w:w="2178" w:type="dxa"/>
            <w:tcBorders/>
          </w:tcPr>
          <w:p>
            <w:pPr>
              <w:pStyle w:val="Normal"/>
              <w:snapToGrid w:val="false"/>
              <w:rPr>
                <w:b/>
                <w:bCs/>
                <w:sz w:val="20"/>
              </w:rPr>
            </w:pPr>
            <w:r>
              <w:rPr>
                <w:b/>
                <w:bCs/>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snapToGrid w:val="false"/>
              <w:rPr>
                <w:b/>
                <w:sz w:val="20"/>
              </w:rPr>
            </w:pPr>
            <w:r>
              <w:rPr>
                <w:b/>
                <w:sz w:val="20"/>
              </w:rPr>
            </w:r>
          </w:p>
        </w:tc>
        <w:tc>
          <w:tcPr>
            <w:tcW w:w="7398" w:type="dxa"/>
            <w:tcBorders/>
          </w:tcPr>
          <w:p>
            <w:pPr>
              <w:pStyle w:val="Normal10pt"/>
              <w:rPr/>
            </w:pPr>
            <w:r>
              <w:rPr/>
              <w:t>Duties include typing and editing documents; drafting transmittal correspondence; scheduling meetings and conference calls; attorney time entry; calendar entries; billing; payment of invoices; opening and maintaining client files, research files and form files; travel arrangements; general administrative duties.</w:t>
            </w:r>
          </w:p>
          <w:p>
            <w:pPr>
              <w:pStyle w:val="Normal"/>
              <w:rPr>
                <w:b/>
                <w:sz w:val="20"/>
              </w:rPr>
            </w:pPr>
            <w:r>
              <w:rPr>
                <w:b/>
                <w:sz w:val="20"/>
              </w:rPr>
            </w:r>
          </w:p>
        </w:tc>
      </w:tr>
      <w:tr>
        <w:trPr/>
        <w:tc>
          <w:tcPr>
            <w:tcW w:w="2178" w:type="dxa"/>
            <w:tcBorders/>
          </w:tcPr>
          <w:p>
            <w:pPr>
              <w:pStyle w:val="Normal"/>
              <w:rPr>
                <w:b/>
                <w:sz w:val="20"/>
              </w:rPr>
            </w:pPr>
            <w:r>
              <w:rPr>
                <w:b/>
                <w:sz w:val="20"/>
              </w:rPr>
              <w:t xml:space="preserve">August 1988 – </w:t>
            </w:r>
          </w:p>
          <w:p>
            <w:pPr>
              <w:pStyle w:val="Normal"/>
              <w:rPr>
                <w:b/>
                <w:sz w:val="20"/>
              </w:rPr>
            </w:pPr>
            <w:r>
              <w:rPr>
                <w:b/>
                <w:sz w:val="20"/>
              </w:rPr>
              <w:t>March 2001</w:t>
            </w:r>
          </w:p>
        </w:tc>
        <w:tc>
          <w:tcPr>
            <w:tcW w:w="7398" w:type="dxa"/>
            <w:tcBorders/>
          </w:tcPr>
          <w:p>
            <w:pPr>
              <w:pStyle w:val="Normal"/>
              <w:rPr>
                <w:b/>
                <w:sz w:val="20"/>
              </w:rPr>
            </w:pPr>
            <w:r>
              <w:rPr>
                <w:b/>
                <w:sz w:val="20"/>
              </w:rPr>
              <w:t>Mayor, Day, Caldwell &amp; Keeton, L.L.P.</w:t>
            </w:r>
          </w:p>
          <w:p>
            <w:pPr>
              <w:pStyle w:val="Normal"/>
              <w:rPr>
                <w:b/>
                <w:sz w:val="20"/>
              </w:rPr>
            </w:pPr>
            <w:r>
              <w:rPr>
                <w:b/>
                <w:sz w:val="20"/>
              </w:rPr>
              <w:t xml:space="preserve">Houston, Texas </w:t>
            </w:r>
          </w:p>
          <w:p>
            <w:pPr>
              <w:pStyle w:val="Normal10pt"/>
              <w:rPr/>
            </w:pPr>
            <w:r>
              <w:rPr/>
              <w:t>Legal Secretary - Public Finance; Tax; Corporate</w:t>
            </w:r>
          </w:p>
        </w:tc>
      </w:tr>
      <w:tr>
        <w:trPr/>
        <w:tc>
          <w:tcPr>
            <w:tcW w:w="2178" w:type="dxa"/>
            <w:tcBorders/>
          </w:tcPr>
          <w:p>
            <w:pPr>
              <w:pStyle w:val="Normal"/>
              <w:snapToGrid w:val="false"/>
              <w:rPr>
                <w:b/>
                <w:sz w:val="20"/>
              </w:rPr>
            </w:pPr>
            <w:r>
              <w:rPr>
                <w:b/>
                <w:sz w:val="20"/>
              </w:rPr>
            </w:r>
          </w:p>
        </w:tc>
        <w:tc>
          <w:tcPr>
            <w:tcW w:w="7398" w:type="dxa"/>
            <w:tcBorders/>
          </w:tcPr>
          <w:p>
            <w:pPr>
              <w:pStyle w:val="Normal"/>
              <w:snapToGrid w:val="false"/>
              <w:rPr>
                <w:b/>
                <w:sz w:val="20"/>
              </w:rPr>
            </w:pPr>
            <w:r>
              <w:rPr>
                <w:b/>
                <w:sz w:val="20"/>
              </w:rPr>
            </w:r>
          </w:p>
        </w:tc>
      </w:tr>
      <w:tr>
        <w:trPr/>
        <w:tc>
          <w:tcPr>
            <w:tcW w:w="2178" w:type="dxa"/>
            <w:tcBorders/>
          </w:tcPr>
          <w:p>
            <w:pPr>
              <w:pStyle w:val="Normal"/>
              <w:snapToGrid w:val="false"/>
              <w:rPr>
                <w:b/>
                <w:sz w:val="20"/>
              </w:rPr>
            </w:pPr>
            <w:r>
              <w:rPr>
                <w:b/>
                <w:sz w:val="20"/>
              </w:rPr>
            </w:r>
          </w:p>
          <w:p>
            <w:pPr>
              <w:pStyle w:val="Normal"/>
              <w:rPr>
                <w:b/>
                <w:sz w:val="20"/>
              </w:rPr>
            </w:pPr>
            <w:r>
              <w:rPr>
                <w:b/>
                <w:sz w:val="20"/>
              </w:rPr>
            </w:r>
          </w:p>
          <w:p>
            <w:pPr>
              <w:pStyle w:val="Normal"/>
              <w:rPr>
                <w:b/>
                <w:sz w:val="20"/>
              </w:rPr>
            </w:pPr>
            <w:r>
              <w:rPr>
                <w:b/>
                <w:sz w:val="20"/>
              </w:rPr>
            </w:r>
          </w:p>
          <w:p>
            <w:pPr>
              <w:pStyle w:val="Normal"/>
              <w:rPr>
                <w:b/>
                <w:sz w:val="20"/>
              </w:rPr>
            </w:pPr>
            <w:r>
              <w:rPr>
                <w:b/>
                <w:sz w:val="20"/>
              </w:rPr>
            </w:r>
          </w:p>
        </w:tc>
        <w:tc>
          <w:tcPr>
            <w:tcW w:w="7398" w:type="dxa"/>
            <w:tcBorders/>
          </w:tcPr>
          <w:p>
            <w:pPr>
              <w:pStyle w:val="Normal10pt"/>
              <w:rPr/>
            </w:pPr>
            <w:r>
              <w:rPr/>
              <w:t xml:space="preserve">Duties included typing and editing documents; drafting transmittal correspondence; scheduling meetings and conference calls; attorney time entry; calendar entries; billing; payment of invoices; opening and maintaining client files, research files and form files; travel arrangements; general administrative duties.  </w:t>
            </w:r>
            <w:r>
              <w:rPr>
                <w:i/>
                <w:iCs/>
              </w:rPr>
              <w:t>The attorneys that I was working for in the Public Finance section moved to Andrews &amp; Kurth in March 2001, and I went with them.</w:t>
            </w:r>
          </w:p>
        </w:tc>
      </w:tr>
      <w:tr>
        <w:trPr/>
        <w:tc>
          <w:tcPr>
            <w:tcW w:w="2178" w:type="dxa"/>
            <w:tcBorders/>
          </w:tcPr>
          <w:p>
            <w:pPr>
              <w:pStyle w:val="Normal"/>
              <w:snapToGrid w:val="false"/>
              <w:rPr>
                <w:b/>
                <w:sz w:val="20"/>
              </w:rPr>
            </w:pPr>
            <w:r>
              <w:rPr>
                <w:b/>
                <w:sz w:val="20"/>
              </w:rPr>
            </w:r>
          </w:p>
        </w:tc>
        <w:tc>
          <w:tcPr>
            <w:tcW w:w="7398" w:type="dxa"/>
            <w:tcBorders/>
          </w:tcPr>
          <w:p>
            <w:pPr>
              <w:pStyle w:val="Normal"/>
              <w:snapToGrid w:val="false"/>
              <w:rPr>
                <w:b/>
                <w:sz w:val="20"/>
              </w:rPr>
            </w:pPr>
            <w:r>
              <w:rPr>
                <w:b/>
                <w:sz w:val="20"/>
              </w:rPr>
            </w:r>
          </w:p>
        </w:tc>
      </w:tr>
      <w:tr>
        <w:trPr/>
        <w:tc>
          <w:tcPr>
            <w:tcW w:w="2178" w:type="dxa"/>
            <w:tcBorders/>
          </w:tcPr>
          <w:p>
            <w:pPr>
              <w:pStyle w:val="Normal"/>
              <w:rPr>
                <w:b/>
                <w:sz w:val="20"/>
              </w:rPr>
            </w:pPr>
            <w:r>
              <w:rPr>
                <w:b/>
                <w:sz w:val="20"/>
              </w:rPr>
              <w:t xml:space="preserve">November 1987 – </w:t>
            </w:r>
          </w:p>
          <w:p>
            <w:pPr>
              <w:pStyle w:val="Normal"/>
              <w:rPr>
                <w:b/>
                <w:sz w:val="20"/>
              </w:rPr>
            </w:pPr>
            <w:r>
              <w:rPr>
                <w:b/>
                <w:sz w:val="20"/>
              </w:rPr>
              <w:t>May 1988</w:t>
            </w:r>
          </w:p>
        </w:tc>
        <w:tc>
          <w:tcPr>
            <w:tcW w:w="7398" w:type="dxa"/>
            <w:tcBorders/>
          </w:tcPr>
          <w:p>
            <w:pPr>
              <w:pStyle w:val="Normal"/>
              <w:rPr>
                <w:b/>
                <w:sz w:val="20"/>
              </w:rPr>
            </w:pPr>
            <w:r>
              <w:rPr>
                <w:b/>
                <w:sz w:val="20"/>
              </w:rPr>
              <w:t>Mariner Hotel Corporation</w:t>
            </w:r>
          </w:p>
          <w:p>
            <w:pPr>
              <w:pStyle w:val="Normal"/>
              <w:rPr>
                <w:b/>
                <w:sz w:val="20"/>
              </w:rPr>
            </w:pPr>
            <w:r>
              <w:rPr>
                <w:b/>
                <w:sz w:val="20"/>
              </w:rPr>
              <w:t>formerly in Houston, Texas</w:t>
            </w:r>
          </w:p>
          <w:p>
            <w:pPr>
              <w:pStyle w:val="Normal10pt"/>
              <w:rPr/>
            </w:pPr>
            <w:r>
              <w:rPr/>
              <w:t>Secretary to General Counsel</w:t>
            </w:r>
          </w:p>
        </w:tc>
      </w:tr>
      <w:tr>
        <w:trPr/>
        <w:tc>
          <w:tcPr>
            <w:tcW w:w="2178" w:type="dxa"/>
            <w:tcBorders/>
          </w:tcPr>
          <w:p>
            <w:pPr>
              <w:pStyle w:val="Normal"/>
              <w:snapToGrid w:val="false"/>
              <w:rPr>
                <w:b/>
                <w:sz w:val="20"/>
              </w:rPr>
            </w:pPr>
            <w:r>
              <w:rPr>
                <w:b/>
                <w:sz w:val="20"/>
              </w:rPr>
            </w:r>
          </w:p>
        </w:tc>
        <w:tc>
          <w:tcPr>
            <w:tcW w:w="7398" w:type="dxa"/>
            <w:tcBorders/>
          </w:tcPr>
          <w:p>
            <w:pPr>
              <w:pStyle w:val="Normal"/>
              <w:snapToGrid w:val="false"/>
              <w:rPr>
                <w:b/>
                <w:sz w:val="20"/>
              </w:rPr>
            </w:pPr>
            <w:r>
              <w:rPr>
                <w:b/>
                <w:sz w:val="20"/>
              </w:rPr>
            </w:r>
          </w:p>
        </w:tc>
      </w:tr>
      <w:tr>
        <w:trPr/>
        <w:tc>
          <w:tcPr>
            <w:tcW w:w="2178" w:type="dxa"/>
            <w:tcBorders/>
          </w:tcPr>
          <w:p>
            <w:pPr>
              <w:pStyle w:val="Normal"/>
              <w:snapToGrid w:val="false"/>
              <w:rPr>
                <w:b/>
                <w:sz w:val="20"/>
              </w:rPr>
            </w:pPr>
            <w:r>
              <w:rPr>
                <w:b/>
                <w:sz w:val="20"/>
              </w:rPr>
            </w:r>
          </w:p>
        </w:tc>
        <w:tc>
          <w:tcPr>
            <w:tcW w:w="7398" w:type="dxa"/>
            <w:tcBorders/>
          </w:tcPr>
          <w:p>
            <w:pPr>
              <w:pStyle w:val="Normal10pt"/>
              <w:rPr/>
            </w:pPr>
            <w:r>
              <w:rPr/>
              <w:t xml:space="preserve">Typed; filed; drafted transmittal correspondence; scheduled meetings; contacted hotel managers and employees to investigate lawsuits, claims and complaints filed by guests and prepared memos to the files summarizing investigations; maintained contact with outside counsel regarding status of lawsuits.  </w:t>
            </w:r>
            <w:r>
              <w:rPr>
                <w:i/>
                <w:iCs/>
              </w:rPr>
              <w:t>Mariner relocated to Dallas, May 1988.</w:t>
            </w:r>
          </w:p>
        </w:tc>
      </w:tr>
      <w:tr>
        <w:trPr/>
        <w:tc>
          <w:tcPr>
            <w:tcW w:w="2178" w:type="dxa"/>
            <w:tcBorders/>
          </w:tcPr>
          <w:p>
            <w:pPr>
              <w:pStyle w:val="Normal"/>
              <w:snapToGrid w:val="false"/>
              <w:rPr>
                <w:b/>
                <w:sz w:val="20"/>
              </w:rPr>
            </w:pPr>
            <w:r>
              <w:rPr>
                <w:b/>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rPr>
                <w:b/>
                <w:sz w:val="20"/>
              </w:rPr>
            </w:pPr>
            <w:r>
              <w:rPr>
                <w:b/>
                <w:sz w:val="20"/>
              </w:rPr>
              <w:t xml:space="preserve">May 1984 – </w:t>
            </w:r>
          </w:p>
          <w:p>
            <w:pPr>
              <w:pStyle w:val="Normal"/>
              <w:rPr>
                <w:b/>
                <w:sz w:val="20"/>
              </w:rPr>
            </w:pPr>
            <w:r>
              <w:rPr>
                <w:b/>
                <w:sz w:val="20"/>
              </w:rPr>
              <w:t>November 1987</w:t>
            </w:r>
          </w:p>
        </w:tc>
        <w:tc>
          <w:tcPr>
            <w:tcW w:w="7398" w:type="dxa"/>
            <w:tcBorders/>
          </w:tcPr>
          <w:p>
            <w:pPr>
              <w:pStyle w:val="Normal10pt"/>
              <w:rPr>
                <w:b/>
              </w:rPr>
            </w:pPr>
            <w:r>
              <w:rPr>
                <w:b/>
              </w:rPr>
              <w:t>Gemcraft Homes</w:t>
            </w:r>
          </w:p>
          <w:p>
            <w:pPr>
              <w:pStyle w:val="Normal10pt"/>
              <w:rPr>
                <w:b/>
              </w:rPr>
            </w:pPr>
            <w:r>
              <w:rPr>
                <w:b/>
              </w:rPr>
              <w:t>Houston, Texas</w:t>
            </w:r>
          </w:p>
          <w:p>
            <w:pPr>
              <w:pStyle w:val="Normal10pt"/>
              <w:rPr/>
            </w:pPr>
            <w:r>
              <w:rPr/>
              <w:t>Secretary / Legal Assistant</w:t>
            </w:r>
          </w:p>
        </w:tc>
      </w:tr>
      <w:tr>
        <w:trPr/>
        <w:tc>
          <w:tcPr>
            <w:tcW w:w="2178" w:type="dxa"/>
            <w:tcBorders/>
          </w:tcPr>
          <w:p>
            <w:pPr>
              <w:pStyle w:val="Normal"/>
              <w:snapToGrid w:val="false"/>
              <w:rPr>
                <w:b/>
                <w:sz w:val="20"/>
              </w:rPr>
            </w:pPr>
            <w:r>
              <w:rPr>
                <w:b/>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snapToGrid w:val="false"/>
              <w:rPr>
                <w:b/>
                <w:sz w:val="20"/>
              </w:rPr>
            </w:pPr>
            <w:r>
              <w:rPr>
                <w:b/>
                <w:sz w:val="20"/>
              </w:rPr>
            </w:r>
          </w:p>
        </w:tc>
        <w:tc>
          <w:tcPr>
            <w:tcW w:w="7398" w:type="dxa"/>
            <w:tcBorders/>
          </w:tcPr>
          <w:p>
            <w:pPr>
              <w:pStyle w:val="Normal10pt"/>
              <w:rPr/>
            </w:pPr>
            <w:r>
              <w:rPr/>
              <w:t xml:space="preserve">Began as secretary for General Counsel, one staff attorney and one paralegal in small legal department.  Duties consisted of filing, typing, answering phones, maintaining files.  Promoted to Legal Assistant in May 1986 for growing legal department.  As Legal Assistant, I was responsible for maintaining contact with homeowners and outside counsel regarding homeowner lawsuits and claims; visiting homes and building sites with engineers and project managers to photograph and evaluate homeowner complaints regarding structural and construction problems; preparing summaries for in-house and outside counsel regarding inspections; attending depositions with staff attorneys; maintaining monthly report summarizing status of pending lawsuits and claims; researching and gathering information and documents in response to Requests for Production.  </w:t>
            </w:r>
            <w:r>
              <w:rPr>
                <w:i/>
                <w:iCs/>
              </w:rPr>
              <w:t>The company was in the process of dissolving when I left.</w:t>
            </w:r>
          </w:p>
        </w:tc>
      </w:tr>
      <w:tr>
        <w:trPr/>
        <w:tc>
          <w:tcPr>
            <w:tcW w:w="2178" w:type="dxa"/>
            <w:tcBorders/>
          </w:tcPr>
          <w:p>
            <w:pPr>
              <w:pStyle w:val="Normal"/>
              <w:snapToGrid w:val="false"/>
              <w:rPr>
                <w:b/>
                <w:sz w:val="20"/>
              </w:rPr>
            </w:pPr>
            <w:r>
              <w:rPr>
                <w:b/>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rPr>
                <w:b/>
                <w:sz w:val="20"/>
              </w:rPr>
            </w:pPr>
            <w:r>
              <w:rPr>
                <w:b/>
                <w:sz w:val="20"/>
              </w:rPr>
              <w:t xml:space="preserve">October 1983 – </w:t>
            </w:r>
          </w:p>
          <w:p>
            <w:pPr>
              <w:pStyle w:val="Normal"/>
              <w:rPr>
                <w:b/>
                <w:sz w:val="20"/>
              </w:rPr>
            </w:pPr>
            <w:r>
              <w:rPr>
                <w:b/>
                <w:sz w:val="20"/>
              </w:rPr>
              <w:t>April 1984</w:t>
            </w:r>
          </w:p>
        </w:tc>
        <w:tc>
          <w:tcPr>
            <w:tcW w:w="7398" w:type="dxa"/>
            <w:tcBorders/>
          </w:tcPr>
          <w:p>
            <w:pPr>
              <w:pStyle w:val="Normal10pt"/>
              <w:rPr>
                <w:b/>
              </w:rPr>
            </w:pPr>
            <w:r>
              <w:rPr>
                <w:b/>
              </w:rPr>
              <w:t>Larry Mason Lee, Attorney at Law</w:t>
            </w:r>
          </w:p>
          <w:p>
            <w:pPr>
              <w:pStyle w:val="Normal10pt"/>
              <w:rPr>
                <w:b/>
              </w:rPr>
            </w:pPr>
            <w:r>
              <w:rPr>
                <w:b/>
              </w:rPr>
              <w:t>Houston, Texas</w:t>
            </w:r>
          </w:p>
          <w:p>
            <w:pPr>
              <w:pStyle w:val="Normal10pt"/>
              <w:rPr/>
            </w:pPr>
            <w:r>
              <w:rPr/>
              <w:t>Legal Secretary</w:t>
            </w:r>
          </w:p>
        </w:tc>
      </w:tr>
      <w:tr>
        <w:trPr/>
        <w:tc>
          <w:tcPr>
            <w:tcW w:w="2178" w:type="dxa"/>
            <w:tcBorders/>
          </w:tcPr>
          <w:p>
            <w:pPr>
              <w:pStyle w:val="Normal"/>
              <w:snapToGrid w:val="false"/>
              <w:rPr>
                <w:b/>
                <w:sz w:val="20"/>
              </w:rPr>
            </w:pPr>
            <w:r>
              <w:rPr>
                <w:b/>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snapToGrid w:val="false"/>
              <w:rPr>
                <w:b/>
                <w:sz w:val="20"/>
              </w:rPr>
            </w:pPr>
            <w:r>
              <w:rPr>
                <w:b/>
                <w:sz w:val="20"/>
              </w:rPr>
            </w:r>
          </w:p>
        </w:tc>
        <w:tc>
          <w:tcPr>
            <w:tcW w:w="7398" w:type="dxa"/>
            <w:tcBorders/>
          </w:tcPr>
          <w:p>
            <w:pPr>
              <w:pStyle w:val="Normal10pt"/>
              <w:rPr/>
            </w:pPr>
            <w:r>
              <w:rPr/>
              <w:t xml:space="preserve">Performed general legal secretarial duties for two associates practicing in general civil and business litigation, family law, and personal injury.  </w:t>
            </w:r>
            <w:r>
              <w:rPr>
                <w:i/>
                <w:iCs/>
              </w:rPr>
              <w:t>The firm dissolved in 1984.</w:t>
            </w:r>
          </w:p>
        </w:tc>
      </w:tr>
      <w:tr>
        <w:trPr/>
        <w:tc>
          <w:tcPr>
            <w:tcW w:w="2178" w:type="dxa"/>
            <w:tcBorders/>
          </w:tcPr>
          <w:p>
            <w:pPr>
              <w:pStyle w:val="Normal"/>
              <w:snapToGrid w:val="false"/>
              <w:rPr>
                <w:b/>
                <w:sz w:val="20"/>
              </w:rPr>
            </w:pPr>
            <w:r>
              <w:rPr>
                <w:b/>
                <w:sz w:val="20"/>
              </w:rPr>
            </w:r>
          </w:p>
        </w:tc>
        <w:tc>
          <w:tcPr>
            <w:tcW w:w="7398" w:type="dxa"/>
            <w:tcBorders/>
          </w:tcPr>
          <w:p>
            <w:pPr>
              <w:pStyle w:val="Normal10pt"/>
              <w:snapToGrid w:val="false"/>
              <w:rPr>
                <w:b/>
                <w:sz w:val="20"/>
              </w:rPr>
            </w:pPr>
            <w:r>
              <w:rPr>
                <w:b/>
                <w:sz w:val="20"/>
              </w:rPr>
            </w:r>
          </w:p>
        </w:tc>
      </w:tr>
      <w:tr>
        <w:trPr/>
        <w:tc>
          <w:tcPr>
            <w:tcW w:w="2178" w:type="dxa"/>
            <w:tcBorders/>
          </w:tcPr>
          <w:p>
            <w:pPr>
              <w:pStyle w:val="Normal"/>
              <w:keepNext w:val="true"/>
              <w:keepLines/>
              <w:rPr>
                <w:b/>
                <w:sz w:val="20"/>
              </w:rPr>
            </w:pPr>
            <w:r>
              <w:rPr>
                <w:b/>
                <w:sz w:val="20"/>
              </w:rPr>
              <w:t>June 1981 –</w:t>
            </w:r>
          </w:p>
          <w:p>
            <w:pPr>
              <w:pStyle w:val="Normal"/>
              <w:keepNext w:val="true"/>
              <w:keepLines/>
              <w:rPr>
                <w:b/>
                <w:sz w:val="20"/>
              </w:rPr>
            </w:pPr>
            <w:r>
              <w:rPr>
                <w:b/>
                <w:sz w:val="20"/>
              </w:rPr>
              <w:t>October 1983</w:t>
            </w:r>
          </w:p>
        </w:tc>
        <w:tc>
          <w:tcPr>
            <w:tcW w:w="7398" w:type="dxa"/>
            <w:tcBorders/>
          </w:tcPr>
          <w:p>
            <w:pPr>
              <w:pStyle w:val="Normal10pt"/>
              <w:keepNext w:val="true"/>
              <w:keepLines/>
              <w:rPr>
                <w:b/>
              </w:rPr>
            </w:pPr>
            <w:r>
              <w:rPr>
                <w:b/>
              </w:rPr>
              <w:t>Systems Application Engineering, Inc.</w:t>
            </w:r>
          </w:p>
          <w:p>
            <w:pPr>
              <w:pStyle w:val="Normal10pt"/>
              <w:keepNext w:val="true"/>
              <w:keepLines/>
              <w:rPr>
                <w:b/>
              </w:rPr>
            </w:pPr>
            <w:r>
              <w:rPr>
                <w:b/>
              </w:rPr>
              <w:t>Houston, Texas</w:t>
            </w:r>
          </w:p>
          <w:p>
            <w:pPr>
              <w:pStyle w:val="Normal10pt"/>
              <w:keepNext w:val="true"/>
              <w:keepLines/>
              <w:rPr/>
            </w:pPr>
            <w:r>
              <w:rPr/>
              <w:t>Secretary / Word Processor</w:t>
            </w:r>
          </w:p>
        </w:tc>
      </w:tr>
      <w:tr>
        <w:trPr/>
        <w:tc>
          <w:tcPr>
            <w:tcW w:w="2178" w:type="dxa"/>
            <w:tcBorders/>
          </w:tcPr>
          <w:p>
            <w:pPr>
              <w:pStyle w:val="Normal"/>
              <w:keepNext w:val="true"/>
              <w:keepLines/>
              <w:snapToGrid w:val="false"/>
              <w:rPr>
                <w:b/>
                <w:sz w:val="20"/>
              </w:rPr>
            </w:pPr>
            <w:r>
              <w:rPr>
                <w:b/>
                <w:sz w:val="20"/>
              </w:rPr>
            </w:r>
          </w:p>
        </w:tc>
        <w:tc>
          <w:tcPr>
            <w:tcW w:w="7398" w:type="dxa"/>
            <w:tcBorders/>
          </w:tcPr>
          <w:p>
            <w:pPr>
              <w:pStyle w:val="Normal10pt"/>
              <w:keepNext w:val="true"/>
              <w:keepLines/>
              <w:snapToGrid w:val="false"/>
              <w:rPr>
                <w:b/>
                <w:sz w:val="20"/>
              </w:rPr>
            </w:pPr>
            <w:r>
              <w:rPr>
                <w:b/>
                <w:sz w:val="20"/>
              </w:rPr>
            </w:r>
          </w:p>
        </w:tc>
      </w:tr>
      <w:tr>
        <w:trPr/>
        <w:tc>
          <w:tcPr>
            <w:tcW w:w="2178" w:type="dxa"/>
            <w:tcBorders/>
          </w:tcPr>
          <w:p>
            <w:pPr>
              <w:pStyle w:val="Normal"/>
              <w:keepNext w:val="true"/>
              <w:keepLines/>
              <w:snapToGrid w:val="false"/>
              <w:rPr>
                <w:b/>
                <w:sz w:val="20"/>
              </w:rPr>
            </w:pPr>
            <w:r>
              <w:rPr>
                <w:b/>
                <w:sz w:val="20"/>
              </w:rPr>
            </w:r>
          </w:p>
        </w:tc>
        <w:tc>
          <w:tcPr>
            <w:tcW w:w="7398" w:type="dxa"/>
            <w:tcBorders/>
          </w:tcPr>
          <w:p>
            <w:pPr>
              <w:pStyle w:val="Normal10pt"/>
              <w:keepNext w:val="true"/>
              <w:keepLines/>
              <w:rPr/>
            </w:pPr>
            <w:r>
              <w:rPr/>
              <w:t xml:space="preserve">Duties included heavy typing/revision of proposals and plans and assembling proposals; ordering all coffee bar and office supplies and maintaining the office supplies room; delivered mail; collected monthly expenses from all office personnel and figured expense reports.  </w:t>
            </w:r>
            <w:r>
              <w:rPr>
                <w:i/>
                <w:iCs/>
              </w:rPr>
              <w:t>I left to pursue employment in the legal field.</w:t>
            </w:r>
          </w:p>
        </w:tc>
      </w:tr>
    </w:tbl>
    <w:p>
      <w:pPr>
        <w:pStyle w:val="Normal"/>
        <w:rPr>
          <w:b/>
          <w:sz w:val="20"/>
        </w:rPr>
      </w:pPr>
      <w:r>
        <w:rPr>
          <w:b/>
          <w:sz w:val="20"/>
        </w:rPr>
      </w:r>
    </w:p>
    <w:p>
      <w:pPr>
        <w:pStyle w:val="Normal"/>
        <w:rPr>
          <w:b/>
          <w:sz w:val="20"/>
        </w:rPr>
      </w:pPr>
      <w:r>
        <w:rPr>
          <w:b/>
          <w:sz w:val="20"/>
        </w:rPr>
      </w:r>
    </w:p>
    <w:p>
      <w:pPr>
        <w:pStyle w:val="Normal"/>
        <w:rPr>
          <w:b/>
          <w:sz w:val="20"/>
        </w:rPr>
      </w:pPr>
      <w:r>
        <w:rPr>
          <w:b/>
          <w:sz w:val="20"/>
        </w:rPr>
        <w:t>EDUCATION:</w:t>
      </w:r>
    </w:p>
    <w:p>
      <w:pPr>
        <w:pStyle w:val="Normal"/>
        <w:rPr>
          <w:b/>
          <w:sz w:val="20"/>
        </w:rPr>
      </w:pPr>
      <w:r>
        <w:rPr>
          <w:b/>
          <w:sz w:val="20"/>
        </w:rPr>
      </w:r>
    </w:p>
    <w:p>
      <w:pPr>
        <w:pStyle w:val="Normal"/>
        <w:ind w:firstLine="720" w:end="0"/>
        <w:rPr>
          <w:sz w:val="20"/>
        </w:rPr>
      </w:pPr>
      <w:r>
        <w:rPr>
          <w:sz w:val="20"/>
        </w:rPr>
        <w:t>1981, Dulles High School, Stafford, Texas</w:t>
      </w:r>
    </w:p>
    <w:p>
      <w:pPr>
        <w:pStyle w:val="Normal"/>
        <w:rPr>
          <w:b/>
          <w:sz w:val="20"/>
        </w:rPr>
      </w:pPr>
      <w:r>
        <w:rPr>
          <w:b/>
          <w:sz w:val="20"/>
        </w:rPr>
      </w:r>
    </w:p>
    <w:p>
      <w:pPr>
        <w:pStyle w:val="BodyTextIndent"/>
        <w:rPr/>
      </w:pPr>
      <w:r>
        <w:rPr/>
        <w:t>SKILLS:</w:t>
      </w:r>
    </w:p>
    <w:p>
      <w:pPr>
        <w:pStyle w:val="BodyTextIndent"/>
        <w:rPr/>
      </w:pPr>
      <w:r>
        <w:rPr/>
      </w:r>
    </w:p>
    <w:p>
      <w:pPr>
        <w:pStyle w:val="BodyTextIndent"/>
        <w:ind w:hanging="0" w:start="720" w:end="0"/>
        <w:rPr>
          <w:b w:val="false"/>
        </w:rPr>
      </w:pPr>
      <w:r>
        <w:rPr>
          <w:b w:val="false"/>
        </w:rPr>
        <w:t>Microsoft Word 2000; Microsoft Word 97; PC Docs; iManage; Carpe Diem; Microsoft Outlook 2000; Internet Explorer; dictaphone</w:t>
      </w:r>
    </w:p>
    <w:p>
      <w:pPr>
        <w:pStyle w:val="Normal"/>
        <w:rPr>
          <w:b/>
          <w:sz w:val="20"/>
        </w:rPr>
      </w:pPr>
      <w:r>
        <w:rPr>
          <w:b/>
          <w:sz w:val="20"/>
        </w:rPr>
      </w:r>
    </w:p>
    <w:p>
      <w:pPr>
        <w:pStyle w:val="Normal"/>
        <w:rPr>
          <w:b/>
          <w:sz w:val="20"/>
        </w:rPr>
      </w:pPr>
      <w:r>
        <w:rPr>
          <w:b/>
          <w:sz w:val="20"/>
        </w:rPr>
        <w:t>CIVIC ASSOCIATIONS:</w:t>
      </w:r>
    </w:p>
    <w:p>
      <w:pPr>
        <w:pStyle w:val="Normal"/>
        <w:rPr>
          <w:b/>
          <w:sz w:val="20"/>
        </w:rPr>
      </w:pPr>
      <w:r>
        <w:rPr>
          <w:b/>
          <w:sz w:val="20"/>
        </w:rPr>
      </w:r>
    </w:p>
    <w:p>
      <w:pPr>
        <w:pStyle w:val="Normal"/>
        <w:ind w:start="720" w:end="0"/>
        <w:rPr>
          <w:b/>
          <w:sz w:val="20"/>
        </w:rPr>
      </w:pPr>
      <w:r>
        <w:rPr>
          <w:sz w:val="20"/>
        </w:rPr>
        <w:t>Active member of Houston Livestock Show and Rodeo (since 1997); current member of the Directions and Assistance Committee; former member of the Rodeo Express Committee</w:t>
      </w:r>
    </w:p>
    <w:p>
      <w:pPr>
        <w:pStyle w:val="Normal"/>
        <w:jc w:val="start"/>
        <w:rPr>
          <w:b/>
          <w:sz w:val="20"/>
        </w:rPr>
      </w:pPr>
      <w:r>
        <w:rPr>
          <w:b/>
          <w:sz w:val="20"/>
        </w:rPr>
      </w:r>
    </w:p>
    <w:sectPr>
      <w:type w:val="continuous"/>
      <w:pgSz w:w="12240" w:h="15840"/>
      <w:pgMar w:left="1440" w:right="1440" w:gutter="0" w:header="0" w:top="720" w:footer="720" w:bottom="7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6802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17526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HOU:649831.3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13.8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HOU:649831.3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next w:val="Normal"/>
    <w:qFormat/>
    <w:pPr>
      <w:keepNext w:val="true"/>
      <w:widowControl/>
      <w:numPr>
        <w:ilvl w:val="0"/>
        <w:numId w:val="1"/>
      </w:numPr>
      <w:bidi w:val="0"/>
      <w:jc w:val="both"/>
      <w:outlineLvl w:val="0"/>
    </w:pPr>
    <w:rPr>
      <w:rFonts w:ascii="Times New Roman" w:hAnsi="Times New Roman" w:eastAsia="Times New Roman" w:cs="Times New Roman"/>
      <w:color w:val="auto"/>
      <w:sz w:val="24"/>
      <w:szCs w:val="20"/>
      <w:lang w:val="en-US" w:bidi="ar-SA" w:eastAsia="zh-CN"/>
    </w:rPr>
  </w:style>
  <w:style w:type="paragraph" w:styleId="Heading2">
    <w:name w:val="heading 2"/>
    <w:next w:val="Normal"/>
    <w:qFormat/>
    <w:pPr>
      <w:keepNext w:val="true"/>
      <w:widowControl/>
      <w:numPr>
        <w:ilvl w:val="1"/>
        <w:numId w:val="1"/>
      </w:numPr>
      <w:bidi w:val="0"/>
      <w:jc w:val="both"/>
      <w:outlineLvl w:val="1"/>
    </w:pPr>
    <w:rPr>
      <w:rFonts w:ascii="Times New Roman" w:hAnsi="Times New Roman" w:eastAsia="Times New Roman" w:cs="Times New Roman"/>
      <w:color w:val="auto"/>
      <w:sz w:val="24"/>
      <w:szCs w:val="20"/>
      <w:lang w:val="en-US" w:bidi="ar-SA" w:eastAsia="zh-CN"/>
    </w:rPr>
  </w:style>
  <w:style w:type="paragraph" w:styleId="Heading3">
    <w:name w:val="heading 3"/>
    <w:next w:val="Normal"/>
    <w:qFormat/>
    <w:pPr>
      <w:keepNext w:val="true"/>
      <w:widowControl/>
      <w:numPr>
        <w:ilvl w:val="2"/>
        <w:numId w:val="1"/>
      </w:numPr>
      <w:bidi w:val="0"/>
      <w:jc w:val="both"/>
      <w:outlineLvl w:val="2"/>
    </w:pPr>
    <w:rPr>
      <w:rFonts w:ascii="Times New Roman" w:hAnsi="Times New Roman" w:eastAsia="Times New Roman" w:cs="Times New Roman"/>
      <w:color w:val="auto"/>
      <w:sz w:val="24"/>
      <w:szCs w:val="20"/>
      <w:lang w:val="en-US" w:bidi="ar-SA" w:eastAsia="zh-CN"/>
    </w:rPr>
  </w:style>
  <w:style w:type="paragraph" w:styleId="Heading4">
    <w:name w:val="heading 4"/>
    <w:next w:val="Normal"/>
    <w:qFormat/>
    <w:pPr>
      <w:keepNext w:val="true"/>
      <w:widowControl/>
      <w:numPr>
        <w:ilvl w:val="3"/>
        <w:numId w:val="1"/>
      </w:numPr>
      <w:bidi w:val="0"/>
      <w:jc w:val="both"/>
      <w:outlineLvl w:val="3"/>
    </w:pPr>
    <w:rPr>
      <w:rFonts w:ascii="Times New Roman" w:hAnsi="Times New Roman" w:eastAsia="Times New Roman" w:cs="Times New Roman"/>
      <w:color w:val="auto"/>
      <w:sz w:val="24"/>
      <w:szCs w:val="20"/>
      <w:lang w:val="en-US" w:bidi="ar-SA" w:eastAsia="zh-CN"/>
    </w:rPr>
  </w:style>
  <w:style w:type="paragraph" w:styleId="Heading5">
    <w:name w:val="heading 5"/>
    <w:next w:val="Normal"/>
    <w:qFormat/>
    <w:pPr>
      <w:keepNext w:val="true"/>
      <w:widowControl/>
      <w:numPr>
        <w:ilvl w:val="4"/>
        <w:numId w:val="1"/>
      </w:numPr>
      <w:bidi w:val="0"/>
      <w:jc w:val="both"/>
      <w:outlineLvl w:val="4"/>
    </w:pPr>
    <w:rPr>
      <w:rFonts w:ascii="Times New Roman" w:hAnsi="Times New Roman" w:eastAsia="Times New Roman" w:cs="Times New Roman"/>
      <w:color w:val="auto"/>
      <w:sz w:val="24"/>
      <w:szCs w:val="20"/>
      <w:lang w:val="en-US" w:bidi="ar-SA" w:eastAsia="zh-CN"/>
    </w:rPr>
  </w:style>
  <w:style w:type="paragraph" w:styleId="Heading6">
    <w:name w:val="heading 6"/>
    <w:next w:val="Normal"/>
    <w:qFormat/>
    <w:pPr>
      <w:keepNext w:val="true"/>
      <w:widowControl/>
      <w:numPr>
        <w:ilvl w:val="5"/>
        <w:numId w:val="1"/>
      </w:numPr>
      <w:bidi w:val="0"/>
      <w:jc w:val="both"/>
      <w:outlineLvl w:val="5"/>
    </w:pPr>
    <w:rPr>
      <w:rFonts w:ascii="Times New Roman" w:hAnsi="Times New Roman" w:eastAsia="Times New Roman" w:cs="Times New Roman"/>
      <w:color w:val="auto"/>
      <w:sz w:val="24"/>
      <w:szCs w:val="20"/>
      <w:lang w:val="en-US" w:bidi="ar-SA" w:eastAsia="zh-CN"/>
    </w:rPr>
  </w:style>
  <w:style w:type="paragraph" w:styleId="Heading7">
    <w:name w:val="heading 7"/>
    <w:next w:val="Normal"/>
    <w:qFormat/>
    <w:pPr>
      <w:keepNext w:val="true"/>
      <w:widowControl/>
      <w:numPr>
        <w:ilvl w:val="6"/>
        <w:numId w:val="1"/>
      </w:numPr>
      <w:bidi w:val="0"/>
      <w:jc w:val="both"/>
      <w:outlineLvl w:val="6"/>
    </w:pPr>
    <w:rPr>
      <w:rFonts w:ascii="Times New Roman" w:hAnsi="Times New Roman" w:eastAsia="Times New Roman" w:cs="Times New Roman"/>
      <w:color w:val="auto"/>
      <w:sz w:val="24"/>
      <w:szCs w:val="20"/>
      <w:lang w:val="en-US" w:bidi="ar-SA" w:eastAsia="zh-CN"/>
    </w:rPr>
  </w:style>
  <w:style w:type="paragraph" w:styleId="Heading8">
    <w:name w:val="heading 8"/>
    <w:next w:val="Normal"/>
    <w:qFormat/>
    <w:pPr>
      <w:keepNext w:val="true"/>
      <w:widowControl/>
      <w:numPr>
        <w:ilvl w:val="7"/>
        <w:numId w:val="1"/>
      </w:numPr>
      <w:bidi w:val="0"/>
      <w:jc w:val="both"/>
      <w:outlineLvl w:val="7"/>
    </w:pPr>
    <w:rPr>
      <w:rFonts w:ascii="Times New Roman" w:hAnsi="Times New Roman" w:eastAsia="Times New Roman" w:cs="Times New Roman"/>
      <w:color w:val="auto"/>
      <w:sz w:val="24"/>
      <w:szCs w:val="20"/>
      <w:lang w:val="en-US" w:bidi="ar-SA" w:eastAsia="zh-CN"/>
    </w:rPr>
  </w:style>
  <w:style w:type="paragraph" w:styleId="Heading9">
    <w:name w:val="heading 9"/>
    <w:next w:val="Normal"/>
    <w:qFormat/>
    <w:pPr>
      <w:keepNext w:val="true"/>
      <w:widowControl/>
      <w:numPr>
        <w:ilvl w:val="8"/>
        <w:numId w:val="1"/>
      </w:numPr>
      <w:bidi w:val="0"/>
      <w:jc w:val="both"/>
      <w:outlineLvl w:val="8"/>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BoldCaps">
    <w:name w:val="Bold/Caps"/>
    <w:basedOn w:val="DefaultParagraphFont"/>
    <w:qFormat/>
    <w:rPr>
      <w:b/>
      <w:caps/>
    </w:rPr>
  </w:style>
  <w:style w:type="character" w:styleId="PageNumber">
    <w:name w:val="page number"/>
    <w:basedOn w:val="DefaultParagraphFont"/>
    <w:rPr/>
  </w:style>
  <w:style w:type="character" w:styleId="BoldUnd">
    <w:name w:val="Bold/Und"/>
    <w:basedOn w:val="DefaultParagraphFont"/>
    <w:qFormat/>
    <w:rPr>
      <w:b/>
      <w:u w:val="single"/>
    </w:rPr>
  </w:style>
  <w:style w:type="character" w:styleId="CapsUnd">
    <w:name w:val="Caps/Und"/>
    <w:basedOn w:val="DefaultParagraphFont"/>
    <w:qFormat/>
    <w:rPr>
      <w:caps/>
      <w:u w:val="single"/>
    </w:rPr>
  </w:style>
  <w:style w:type="character" w:styleId="Hyperlink">
    <w:name w:val="Hyperlink"/>
    <w:basedOn w:val="DefaultParagraphFont"/>
    <w:rPr>
      <w:color w:val="0000FF"/>
      <w:u w:val="single"/>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EndnoteText10a">
    <w:name w:val="End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bidi="ar-SA" w:eastAsia="zh-CN"/>
    </w:rPr>
  </w:style>
  <w:style w:type="paragraph" w:styleId="EndnoteText10b">
    <w:name w:val="Endnote Text 10b"/>
    <w:basedOn w:val="EndnoteText10a"/>
    <w:qFormat/>
    <w:pPr>
      <w:ind w:hanging="576" w:start="576" w:end="0"/>
    </w:pPr>
    <w:rPr/>
  </w:style>
  <w:style w:type="paragraph" w:styleId="EndnoteText11a">
    <w:name w:val="Endnote Text 11a"/>
    <w:basedOn w:val="EndnoteText10a"/>
    <w:qFormat/>
    <w:pPr>
      <w:spacing w:before="0" w:after="220"/>
    </w:pPr>
    <w:rPr>
      <w:sz w:val="22"/>
    </w:rPr>
  </w:style>
  <w:style w:type="paragraph" w:styleId="EndnoteText11b">
    <w:name w:val="Endnote Text 11b"/>
    <w:basedOn w:val="EndnoteText10b"/>
    <w:qFormat/>
    <w:pPr>
      <w:spacing w:before="0" w:after="22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pPr>
      <w:widowControl/>
      <w:tabs>
        <w:tab w:val="clear" w:pos="720"/>
        <w:tab w:val="center" w:pos="4680" w:leader="none"/>
        <w:tab w:val="right" w:pos="9360" w:leader="none"/>
      </w:tabs>
      <w:bidi w:val="0"/>
      <w:jc w:val="both"/>
    </w:pPr>
    <w:rPr>
      <w:rFonts w:ascii="Times New Roman" w:hAnsi="Times New Roman" w:eastAsia="Times New Roman" w:cs="Times New Roman"/>
      <w:color w:val="auto"/>
      <w:sz w:val="24"/>
      <w:szCs w:val="20"/>
      <w:lang w:val="en-US" w:bidi="ar-SA" w:eastAsia="zh-CN"/>
    </w:rPr>
  </w:style>
  <w:style w:type="paragraph" w:styleId="FootnoteText10a">
    <w:name w:val="Foot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bidi="ar-SA" w:eastAsia="zh-CN"/>
    </w:rPr>
  </w:style>
  <w:style w:type="paragraph" w:styleId="FootnoteText10b">
    <w:name w:val="Footnote Text 10b"/>
    <w:basedOn w:val="FootnoteText10a"/>
    <w:qFormat/>
    <w:pPr>
      <w:ind w:hanging="576" w:start="576" w:end="0"/>
    </w:pPr>
    <w:rPr/>
  </w:style>
  <w:style w:type="paragraph" w:styleId="FootnoteText11a">
    <w:name w:val="Footnote Text 11a"/>
    <w:basedOn w:val="FootnoteText10a"/>
    <w:qFormat/>
    <w:pPr>
      <w:spacing w:before="0" w:after="220"/>
    </w:pPr>
    <w:rPr>
      <w:sz w:val="22"/>
    </w:rPr>
  </w:style>
  <w:style w:type="paragraph" w:styleId="FootnoteText11b">
    <w:name w:val="Footnote Text 11b"/>
    <w:basedOn w:val="FootnoteText10b"/>
    <w:qFormat/>
    <w:pPr>
      <w:spacing w:before="0" w:after="220"/>
    </w:pPr>
    <w:rPr>
      <w:sz w:val="22"/>
    </w:rPr>
  </w:style>
  <w:style w:type="paragraph" w:styleId="Header">
    <w:name w:val="header"/>
    <w:pPr>
      <w:widowControl/>
      <w:tabs>
        <w:tab w:val="clear" w:pos="720"/>
        <w:tab w:val="center" w:pos="4680" w:leader="none"/>
        <w:tab w:val="right" w:pos="9360" w:leader="none"/>
      </w:tabs>
      <w:bidi w:val="0"/>
      <w:jc w:val="both"/>
    </w:pPr>
    <w:rPr>
      <w:rFonts w:ascii="Times New Roman" w:hAnsi="Times New Roman" w:eastAsia="Times New Roman" w:cs="Times New Roman"/>
      <w:color w:val="auto"/>
      <w:sz w:val="24"/>
      <w:szCs w:val="20"/>
      <w:lang w:val="en-US" w:bidi="ar-SA" w:eastAsia="zh-CN"/>
    </w:rPr>
  </w:style>
  <w:style w:type="paragraph" w:styleId="Quote">
    <w:name w:val="Quote"/>
    <w:next w:val="Normal"/>
    <w:qFormat/>
    <w:pPr>
      <w:widowControl/>
      <w:bidi w:val="0"/>
      <w:spacing w:before="0" w:after="240"/>
      <w:ind w:hanging="0" w:start="720" w:end="720"/>
      <w:jc w:val="both"/>
    </w:pPr>
    <w:rPr>
      <w:rFonts w:ascii="Times New Roman" w:hAnsi="Times New Roman" w:eastAsia="Times New Roman" w:cs="Times New Roman"/>
      <w:color w:val="auto"/>
      <w:sz w:val="24"/>
      <w:szCs w:val="20"/>
      <w:lang w:val="en-US" w:bidi="ar-SA" w:eastAsia="zh-CN"/>
    </w:rPr>
  </w:style>
  <w:style w:type="paragraph" w:styleId="Quote2">
    <w:name w:val="Quote 2"/>
    <w:basedOn w:val="Quote"/>
    <w:next w:val="Normal"/>
    <w:qFormat/>
    <w:pPr>
      <w:ind w:hanging="0" w:start="1440" w:end="1440"/>
    </w:pPr>
    <w:rPr/>
  </w:style>
  <w:style w:type="paragraph" w:styleId="TOC1">
    <w:name w:val="toc 1"/>
    <w:next w:val="Normal"/>
    <w:pPr>
      <w:widowControl/>
      <w:tabs>
        <w:tab w:val="left" w:pos="720" w:leader="none"/>
        <w:tab w:val="right" w:pos="9350" w:leader="dot"/>
      </w:tabs>
      <w:bidi w:val="0"/>
      <w:spacing w:before="240" w:after="0"/>
      <w:jc w:val="both"/>
      <w:outlineLvl w:val="0"/>
    </w:pPr>
    <w:rPr>
      <w:rFonts w:ascii="Times New Roman" w:hAnsi="Times New Roman" w:eastAsia="Times New Roman" w:cs="Times New Roman"/>
      <w:color w:val="auto"/>
      <w:sz w:val="24"/>
      <w:szCs w:val="20"/>
      <w:lang w:val="en-US" w:bidi="ar-SA" w:eastAsia="zh-CN"/>
    </w:rPr>
  </w:style>
  <w:style w:type="paragraph" w:styleId="TOC2">
    <w:name w:val="toc 2"/>
    <w:next w:val="Normal"/>
    <w:pPr>
      <w:widowControl/>
      <w:tabs>
        <w:tab w:val="clear" w:pos="720"/>
        <w:tab w:val="left" w:pos="1080" w:leader="none"/>
        <w:tab w:val="right" w:pos="9360" w:leader="dot"/>
      </w:tabs>
      <w:bidi w:val="0"/>
      <w:ind w:hanging="0" w:start="360" w:end="0"/>
      <w:jc w:val="both"/>
      <w:outlineLvl w:val="1"/>
    </w:pPr>
    <w:rPr>
      <w:rFonts w:ascii="Times New Roman" w:hAnsi="Times New Roman" w:eastAsia="Times New Roman" w:cs="Times New Roman"/>
      <w:color w:val="auto"/>
      <w:sz w:val="24"/>
      <w:szCs w:val="20"/>
      <w:lang w:val="en-US" w:bidi="ar-SA" w:eastAsia="zh-CN"/>
    </w:rPr>
  </w:style>
  <w:style w:type="paragraph" w:styleId="TOC3">
    <w:name w:val="toc 3"/>
    <w:next w:val="Normal"/>
    <w:pPr>
      <w:widowControl/>
      <w:tabs>
        <w:tab w:val="clear" w:pos="720"/>
        <w:tab w:val="left" w:pos="1440" w:leader="none"/>
        <w:tab w:val="right" w:pos="9360" w:leader="dot"/>
      </w:tabs>
      <w:bidi w:val="0"/>
      <w:ind w:hanging="0" w:start="720" w:end="0"/>
      <w:jc w:val="both"/>
      <w:outlineLvl w:val="2"/>
    </w:pPr>
    <w:rPr>
      <w:rFonts w:ascii="Times New Roman" w:hAnsi="Times New Roman" w:eastAsia="Times New Roman" w:cs="Times New Roman"/>
      <w:color w:val="auto"/>
      <w:sz w:val="24"/>
      <w:szCs w:val="20"/>
      <w:lang w:val="en-US" w:bidi="ar-SA" w:eastAsia="zh-CN"/>
    </w:rPr>
  </w:style>
  <w:style w:type="paragraph" w:styleId="TOC4">
    <w:name w:val="toc 4"/>
    <w:next w:val="Normal"/>
    <w:pPr>
      <w:widowControl/>
      <w:tabs>
        <w:tab w:val="clear" w:pos="720"/>
        <w:tab w:val="left" w:pos="1800" w:leader="none"/>
        <w:tab w:val="right" w:pos="9360" w:leader="dot"/>
      </w:tabs>
      <w:bidi w:val="0"/>
      <w:ind w:hanging="0" w:start="1080" w:end="0"/>
      <w:jc w:val="both"/>
      <w:outlineLvl w:val="3"/>
    </w:pPr>
    <w:rPr>
      <w:rFonts w:ascii="Times New Roman" w:hAnsi="Times New Roman" w:eastAsia="Times New Roman" w:cs="Times New Roman"/>
      <w:color w:val="auto"/>
      <w:sz w:val="24"/>
      <w:szCs w:val="20"/>
      <w:lang w:val="en-US" w:bidi="ar-SA" w:eastAsia="zh-CN"/>
    </w:rPr>
  </w:style>
  <w:style w:type="paragraph" w:styleId="TOC5">
    <w:name w:val="toc 5"/>
    <w:next w:val="Normal"/>
    <w:pPr>
      <w:widowControl/>
      <w:tabs>
        <w:tab w:val="clear" w:pos="720"/>
        <w:tab w:val="left" w:pos="2160" w:leader="none"/>
        <w:tab w:val="right" w:pos="9360" w:leader="dot"/>
      </w:tabs>
      <w:bidi w:val="0"/>
      <w:ind w:hanging="0" w:start="1440" w:end="0"/>
      <w:jc w:val="both"/>
      <w:outlineLvl w:val="4"/>
    </w:pPr>
    <w:rPr>
      <w:rFonts w:ascii="Times New Roman" w:hAnsi="Times New Roman" w:eastAsia="Times New Roman" w:cs="Times New Roman"/>
      <w:color w:val="auto"/>
      <w:sz w:val="24"/>
      <w:szCs w:val="20"/>
      <w:lang w:val="en-US" w:bidi="ar-SA" w:eastAsia="zh-CN"/>
    </w:rPr>
  </w:style>
  <w:style w:type="paragraph" w:styleId="TOC6">
    <w:name w:val="toc 6"/>
    <w:next w:val="Normal"/>
    <w:pPr>
      <w:widowControl/>
      <w:tabs>
        <w:tab w:val="clear" w:pos="720"/>
        <w:tab w:val="left" w:pos="2520" w:leader="none"/>
        <w:tab w:val="right" w:pos="9360" w:leader="dot"/>
      </w:tabs>
      <w:bidi w:val="0"/>
      <w:ind w:hanging="0" w:start="1800" w:end="0"/>
      <w:jc w:val="both"/>
      <w:outlineLvl w:val="5"/>
    </w:pPr>
    <w:rPr>
      <w:rFonts w:ascii="Times New Roman" w:hAnsi="Times New Roman" w:eastAsia="Times New Roman" w:cs="Times New Roman"/>
      <w:color w:val="auto"/>
      <w:sz w:val="24"/>
      <w:szCs w:val="20"/>
      <w:lang w:val="en-US" w:bidi="ar-SA" w:eastAsia="zh-CN"/>
    </w:rPr>
  </w:style>
  <w:style w:type="paragraph" w:styleId="TOC7">
    <w:name w:val="toc 7"/>
    <w:next w:val="Normal"/>
    <w:pPr>
      <w:widowControl/>
      <w:tabs>
        <w:tab w:val="clear" w:pos="720"/>
        <w:tab w:val="left" w:pos="2880" w:leader="none"/>
        <w:tab w:val="right" w:pos="9360" w:leader="dot"/>
      </w:tabs>
      <w:bidi w:val="0"/>
      <w:ind w:hanging="0" w:start="2160" w:end="0"/>
      <w:jc w:val="both"/>
      <w:outlineLvl w:val="6"/>
    </w:pPr>
    <w:rPr>
      <w:rFonts w:ascii="Times New Roman" w:hAnsi="Times New Roman" w:eastAsia="Times New Roman" w:cs="Times New Roman"/>
      <w:color w:val="auto"/>
      <w:sz w:val="24"/>
      <w:szCs w:val="20"/>
      <w:lang w:val="en-US" w:bidi="ar-SA" w:eastAsia="zh-CN"/>
    </w:rPr>
  </w:style>
  <w:style w:type="paragraph" w:styleId="TOC8">
    <w:name w:val="toc 8"/>
    <w:next w:val="Normal"/>
    <w:pPr>
      <w:widowControl/>
      <w:tabs>
        <w:tab w:val="clear" w:pos="720"/>
        <w:tab w:val="left" w:pos="3240" w:leader="none"/>
        <w:tab w:val="right" w:pos="9360" w:leader="dot"/>
      </w:tabs>
      <w:bidi w:val="0"/>
      <w:ind w:hanging="0" w:start="2520" w:end="0"/>
      <w:jc w:val="both"/>
      <w:outlineLvl w:val="7"/>
    </w:pPr>
    <w:rPr>
      <w:rFonts w:ascii="Times New Roman" w:hAnsi="Times New Roman" w:eastAsia="Times New Roman" w:cs="Times New Roman"/>
      <w:color w:val="auto"/>
      <w:sz w:val="24"/>
      <w:szCs w:val="20"/>
      <w:lang w:val="en-US" w:bidi="ar-SA" w:eastAsia="zh-CN"/>
    </w:rPr>
  </w:style>
  <w:style w:type="paragraph" w:styleId="TOC9">
    <w:name w:val="toc 9"/>
    <w:next w:val="Normal"/>
    <w:pPr>
      <w:widowControl/>
      <w:tabs>
        <w:tab w:val="clear" w:pos="720"/>
        <w:tab w:val="left" w:pos="3600" w:leader="none"/>
        <w:tab w:val="right" w:pos="9360" w:leader="dot"/>
      </w:tabs>
      <w:bidi w:val="0"/>
      <w:ind w:hanging="0" w:start="2880" w:end="0"/>
      <w:jc w:val="both"/>
      <w:outlineLvl w:val="8"/>
    </w:pPr>
    <w:rPr>
      <w:rFonts w:ascii="Times New Roman" w:hAnsi="Times New Roman" w:eastAsia="Times New Roman" w:cs="Times New Roman"/>
      <w:color w:val="auto"/>
      <w:sz w:val="24"/>
      <w:szCs w:val="20"/>
      <w:lang w:val="en-US" w:bidi="ar-SA" w:eastAsia="zh-CN"/>
    </w:rPr>
  </w:style>
  <w:style w:type="paragraph" w:styleId="FLI5LftInd0">
    <w:name w:val="FLI .5&quot;/Lft Ind .0&quot;"/>
    <w:next w:val="Normal"/>
    <w:qFormat/>
    <w:pPr>
      <w:widowControl/>
      <w:bidi w:val="0"/>
      <w:spacing w:before="0" w:after="240"/>
      <w:ind w:firstLine="720" w:start="0" w:end="0"/>
      <w:jc w:val="both"/>
    </w:pPr>
    <w:rPr>
      <w:rFonts w:ascii="Times New Roman" w:hAnsi="Times New Roman" w:eastAsia="Times New Roman" w:cs="Times New Roman"/>
      <w:color w:val="auto"/>
      <w:sz w:val="24"/>
      <w:szCs w:val="20"/>
      <w:lang w:val="en-US" w:bidi="ar-SA" w:eastAsia="zh-CN"/>
    </w:rPr>
  </w:style>
  <w:style w:type="paragraph" w:styleId="FLI5LftInd5">
    <w:name w:val="FLI .5&quot;/Lft Ind .5&quot;"/>
    <w:next w:val="Normal"/>
    <w:qFormat/>
    <w:pPr>
      <w:widowControl/>
      <w:bidi w:val="0"/>
      <w:spacing w:before="0" w:after="240"/>
      <w:ind w:firstLine="720" w:start="720" w:end="0"/>
      <w:jc w:val="both"/>
    </w:pPr>
    <w:rPr>
      <w:rFonts w:ascii="Times New Roman" w:hAnsi="Times New Roman" w:eastAsia="Times New Roman" w:cs="Times New Roman"/>
      <w:color w:val="auto"/>
      <w:sz w:val="24"/>
      <w:szCs w:val="20"/>
      <w:lang w:val="en-US" w:bidi="ar-SA" w:eastAsia="zh-CN"/>
    </w:rPr>
  </w:style>
  <w:style w:type="paragraph" w:styleId="FLI5LftInd1">
    <w:name w:val="FLI .5&quot;/Lft Ind 1&quot;"/>
    <w:next w:val="Normal"/>
    <w:qFormat/>
    <w:pPr>
      <w:widowControl/>
      <w:bidi w:val="0"/>
      <w:spacing w:before="0" w:after="240"/>
      <w:ind w:firstLine="720" w:start="1440" w:end="0"/>
      <w:jc w:val="both"/>
    </w:pPr>
    <w:rPr>
      <w:rFonts w:ascii="Times New Roman" w:hAnsi="Times New Roman" w:eastAsia="Times New Roman" w:cs="Times New Roman"/>
      <w:color w:val="auto"/>
      <w:sz w:val="24"/>
      <w:szCs w:val="20"/>
      <w:lang w:val="en-US" w:bidi="ar-SA" w:eastAsia="zh-CN"/>
    </w:rPr>
  </w:style>
  <w:style w:type="paragraph" w:styleId="FLI5LftInd15">
    <w:name w:val="FLI .5&quot;/Lft Ind 1.5&quot;"/>
    <w:next w:val="Normal"/>
    <w:qFormat/>
    <w:pPr>
      <w:widowControl/>
      <w:bidi w:val="0"/>
      <w:spacing w:before="0" w:after="240"/>
      <w:ind w:firstLine="720" w:start="2160" w:end="0"/>
      <w:jc w:val="both"/>
    </w:pPr>
    <w:rPr>
      <w:rFonts w:ascii="Times New Roman" w:hAnsi="Times New Roman" w:eastAsia="Times New Roman" w:cs="Times New Roman"/>
      <w:color w:val="auto"/>
      <w:sz w:val="24"/>
      <w:szCs w:val="20"/>
      <w:lang w:val="en-US" w:bidi="ar-SA" w:eastAsia="zh-CN"/>
    </w:rPr>
  </w:style>
  <w:style w:type="paragraph" w:styleId="HI5LftInd0">
    <w:name w:val="HI .5&quot;/Lft Ind .0&quot;"/>
    <w:next w:val="Normal"/>
    <w:qFormat/>
    <w:pPr>
      <w:widowControl/>
      <w:bidi w:val="0"/>
      <w:spacing w:before="0" w:after="240"/>
      <w:ind w:hanging="720" w:start="720" w:end="0"/>
      <w:jc w:val="both"/>
    </w:pPr>
    <w:rPr>
      <w:rFonts w:ascii="Times New Roman" w:hAnsi="Times New Roman" w:eastAsia="Times New Roman" w:cs="Times New Roman"/>
      <w:color w:val="auto"/>
      <w:sz w:val="24"/>
      <w:szCs w:val="20"/>
      <w:lang w:val="en-US" w:bidi="ar-SA" w:eastAsia="zh-CN"/>
    </w:rPr>
  </w:style>
  <w:style w:type="paragraph" w:styleId="HI5LftInd5">
    <w:name w:val="HI .5&quot;/Lft Ind .5&quot;"/>
    <w:next w:val="Normal"/>
    <w:qFormat/>
    <w:pPr>
      <w:widowControl/>
      <w:bidi w:val="0"/>
      <w:spacing w:before="0" w:after="240"/>
      <w:ind w:hanging="720" w:start="1440" w:end="0"/>
      <w:jc w:val="both"/>
    </w:pPr>
    <w:rPr>
      <w:rFonts w:ascii="Times New Roman" w:hAnsi="Times New Roman" w:eastAsia="Times New Roman" w:cs="Times New Roman"/>
      <w:color w:val="auto"/>
      <w:sz w:val="24"/>
      <w:szCs w:val="20"/>
      <w:lang w:val="en-US" w:bidi="ar-SA" w:eastAsia="zh-CN"/>
    </w:rPr>
  </w:style>
  <w:style w:type="paragraph" w:styleId="HI5LftInd1">
    <w:name w:val="HI .5&quot;/Lft Ind 1&quot;"/>
    <w:next w:val="Normal"/>
    <w:qFormat/>
    <w:pPr>
      <w:widowControl/>
      <w:bidi w:val="0"/>
      <w:spacing w:before="0" w:after="240"/>
      <w:ind w:hanging="720" w:start="2160" w:end="0"/>
      <w:jc w:val="both"/>
    </w:pPr>
    <w:rPr>
      <w:rFonts w:ascii="Times New Roman" w:hAnsi="Times New Roman" w:eastAsia="Times New Roman" w:cs="Times New Roman"/>
      <w:color w:val="auto"/>
      <w:spacing w:val="2"/>
      <w:sz w:val="24"/>
      <w:szCs w:val="20"/>
      <w:lang w:val="en-US" w:bidi="ar-SA" w:eastAsia="zh-CN"/>
    </w:rPr>
  </w:style>
  <w:style w:type="paragraph" w:styleId="HI1LftInd15">
    <w:name w:val="HI 1&quot;/Lft Ind 1.5&quot;"/>
    <w:next w:val="Normal"/>
    <w:qFormat/>
    <w:pPr>
      <w:widowControl/>
      <w:bidi w:val="0"/>
      <w:spacing w:before="0" w:after="240"/>
      <w:ind w:hanging="720" w:start="2880" w:end="0"/>
      <w:jc w:val="both"/>
    </w:pPr>
    <w:rPr>
      <w:rFonts w:ascii="Times New Roman" w:hAnsi="Times New Roman" w:eastAsia="Times New Roman" w:cs="Times New Roman"/>
      <w:color w:val="auto"/>
      <w:sz w:val="24"/>
      <w:szCs w:val="20"/>
      <w:lang w:val="en-US" w:bidi="ar-SA" w:eastAsia="zh-CN"/>
    </w:rPr>
  </w:style>
  <w:style w:type="paragraph" w:styleId="LftInd0">
    <w:name w:val="Lft Ind .0&quot;"/>
    <w:next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LftInd5">
    <w:name w:val="Lft Ind .5&quot;"/>
    <w:next w:val="Normal"/>
    <w:qFormat/>
    <w:pPr>
      <w:widowControl/>
      <w:bidi w:val="0"/>
      <w:spacing w:before="0" w:after="240"/>
      <w:ind w:hanging="0" w:start="720" w:end="0"/>
      <w:jc w:val="both"/>
    </w:pPr>
    <w:rPr>
      <w:rFonts w:ascii="Times New Roman" w:hAnsi="Times New Roman" w:eastAsia="Times New Roman" w:cs="Times New Roman"/>
      <w:color w:val="auto"/>
      <w:sz w:val="24"/>
      <w:szCs w:val="20"/>
      <w:lang w:val="en-US" w:bidi="ar-SA" w:eastAsia="zh-CN"/>
    </w:rPr>
  </w:style>
  <w:style w:type="paragraph" w:styleId="LftInd1">
    <w:name w:val="Lft Ind 1&quot;"/>
    <w:next w:val="Normal"/>
    <w:qFormat/>
    <w:pPr>
      <w:widowControl/>
      <w:bidi w:val="0"/>
      <w:spacing w:before="0" w:after="240"/>
      <w:ind w:hanging="0" w:start="1440" w:end="0"/>
      <w:jc w:val="both"/>
    </w:pPr>
    <w:rPr>
      <w:rFonts w:ascii="Times New Roman" w:hAnsi="Times New Roman" w:eastAsia="Times New Roman" w:cs="Times New Roman"/>
      <w:color w:val="auto"/>
      <w:sz w:val="24"/>
      <w:szCs w:val="20"/>
      <w:lang w:val="en-US" w:bidi="ar-SA" w:eastAsia="zh-CN"/>
    </w:rPr>
  </w:style>
  <w:style w:type="paragraph" w:styleId="LftInd15">
    <w:name w:val="Lft Ind 1.5&quot;"/>
    <w:next w:val="Normal"/>
    <w:qFormat/>
    <w:pPr>
      <w:widowControl/>
      <w:bidi w:val="0"/>
      <w:spacing w:before="0" w:after="240"/>
      <w:ind w:hanging="0" w:start="2160" w:end="0"/>
      <w:jc w:val="both"/>
    </w:pPr>
    <w:rPr>
      <w:rFonts w:ascii="Times New Roman" w:hAnsi="Times New Roman" w:eastAsia="Times New Roman" w:cs="Times New Roman"/>
      <w:color w:val="auto"/>
      <w:sz w:val="24"/>
      <w:szCs w:val="20"/>
      <w:lang w:val="en-US" w:bidi="ar-SA" w:eastAsia="zh-CN"/>
    </w:rPr>
  </w:style>
  <w:style w:type="paragraph" w:styleId="TOC1Center">
    <w:name w:val="@TOC1Center"/>
    <w:next w:val="Normal"/>
    <w:qFormat/>
    <w:pPr>
      <w:keepNext w:val="true"/>
      <w:widowControl/>
      <w:bidi w:val="0"/>
      <w:spacing w:before="0" w:after="240"/>
      <w:jc w:val="center"/>
      <w:outlineLvl w:val="0"/>
    </w:pPr>
    <w:rPr>
      <w:rFonts w:ascii="Times New Roman" w:hAnsi="Times New Roman" w:eastAsia="Times New Roman" w:cs="Times New Roman"/>
      <w:caps/>
      <w:color w:val="auto"/>
      <w:sz w:val="24"/>
      <w:szCs w:val="20"/>
      <w:lang w:val="en-US" w:bidi="ar-SA" w:eastAsia="zh-CN"/>
    </w:rPr>
  </w:style>
  <w:style w:type="paragraph" w:styleId="TOC1Left">
    <w:name w:val="@TOC1Left"/>
    <w:qFormat/>
    <w:pPr>
      <w:keepNext w:val="true"/>
      <w:widowControl/>
      <w:bidi w:val="0"/>
      <w:spacing w:before="0" w:after="240"/>
      <w:jc w:val="both"/>
      <w:outlineLvl w:val="0"/>
    </w:pPr>
    <w:rPr>
      <w:rFonts w:ascii="Times New Roman" w:hAnsi="Times New Roman" w:eastAsia="Times New Roman" w:cs="Times New Roman"/>
      <w:color w:val="auto"/>
      <w:sz w:val="24"/>
      <w:szCs w:val="20"/>
      <w:lang w:val="en-US" w:bidi="ar-SA" w:eastAsia="zh-CN"/>
    </w:rPr>
  </w:style>
  <w:style w:type="paragraph" w:styleId="TOC2Ind1">
    <w:name w:val="@TOC2Ind1"/>
    <w:qFormat/>
    <w:pPr>
      <w:widowControl/>
      <w:tabs>
        <w:tab w:val="left" w:pos="720" w:leader="none"/>
      </w:tabs>
      <w:bidi w:val="0"/>
      <w:spacing w:before="0" w:after="240"/>
      <w:ind w:hanging="720" w:start="720" w:end="0"/>
      <w:jc w:val="both"/>
      <w:outlineLvl w:val="1"/>
    </w:pPr>
    <w:rPr>
      <w:rFonts w:ascii="Times New Roman" w:hAnsi="Times New Roman" w:eastAsia="Times New Roman" w:cs="Times New Roman"/>
      <w:color w:val="auto"/>
      <w:sz w:val="24"/>
      <w:szCs w:val="20"/>
      <w:lang w:val="en-US" w:bidi="ar-SA" w:eastAsia="zh-CN"/>
    </w:rPr>
  </w:style>
  <w:style w:type="paragraph" w:styleId="TOC2Tab1">
    <w:name w:val="@TOC2Tab1"/>
    <w:qFormat/>
    <w:pPr>
      <w:widowControl/>
      <w:tabs>
        <w:tab w:val="left" w:pos="720" w:leader="none"/>
      </w:tabs>
      <w:bidi w:val="0"/>
      <w:spacing w:before="0" w:after="240"/>
      <w:ind w:firstLine="720" w:start="0" w:end="0"/>
      <w:jc w:val="both"/>
      <w:outlineLvl w:val="1"/>
    </w:pPr>
    <w:rPr>
      <w:rFonts w:ascii="Times New Roman" w:hAnsi="Times New Roman" w:eastAsia="Times New Roman" w:cs="Times New Roman"/>
      <w:color w:val="auto"/>
      <w:spacing w:val="2"/>
      <w:sz w:val="24"/>
      <w:szCs w:val="20"/>
      <w:lang w:val="en-US" w:bidi="ar-SA" w:eastAsia="zh-CN"/>
    </w:rPr>
  </w:style>
  <w:style w:type="paragraph" w:styleId="TOC3Ind2">
    <w:name w:val="@TOC3Ind2"/>
    <w:qFormat/>
    <w:pPr>
      <w:widowControl/>
      <w:tabs>
        <w:tab w:val="clear" w:pos="720"/>
        <w:tab w:val="left" w:pos="1440" w:leader="none"/>
      </w:tabs>
      <w:bidi w:val="0"/>
      <w:spacing w:before="0" w:after="240"/>
      <w:ind w:hanging="720" w:start="1440" w:end="0"/>
      <w:jc w:val="both"/>
      <w:outlineLvl w:val="2"/>
    </w:pPr>
    <w:rPr>
      <w:rFonts w:ascii="Times New Roman" w:hAnsi="Times New Roman" w:eastAsia="Times New Roman" w:cs="Times New Roman"/>
      <w:color w:val="auto"/>
      <w:sz w:val="24"/>
      <w:szCs w:val="20"/>
      <w:lang w:val="en-US" w:bidi="ar-SA" w:eastAsia="zh-CN"/>
    </w:rPr>
  </w:style>
  <w:style w:type="paragraph" w:styleId="TOC3Tab2">
    <w:name w:val="@TOC3Tab2"/>
    <w:qFormat/>
    <w:pPr>
      <w:widowControl/>
      <w:tabs>
        <w:tab w:val="clear" w:pos="720"/>
        <w:tab w:val="left" w:pos="1440" w:leader="none"/>
      </w:tabs>
      <w:bidi w:val="0"/>
      <w:spacing w:before="0" w:after="240"/>
      <w:ind w:firstLine="720" w:start="720" w:end="0"/>
      <w:jc w:val="both"/>
      <w:outlineLvl w:val="2"/>
    </w:pPr>
    <w:rPr>
      <w:rFonts w:ascii="Times New Roman" w:hAnsi="Times New Roman" w:eastAsia="Times New Roman" w:cs="Times New Roman"/>
      <w:color w:val="auto"/>
      <w:sz w:val="24"/>
      <w:szCs w:val="20"/>
      <w:lang w:val="en-US" w:bidi="ar-SA" w:eastAsia="zh-CN"/>
    </w:rPr>
  </w:style>
  <w:style w:type="paragraph" w:styleId="TOC4Ind3">
    <w:name w:val="@TOC4Ind3"/>
    <w:qFormat/>
    <w:pPr>
      <w:widowControl/>
      <w:tabs>
        <w:tab w:val="clear" w:pos="720"/>
        <w:tab w:val="left" w:pos="2160" w:leader="none"/>
      </w:tabs>
      <w:bidi w:val="0"/>
      <w:spacing w:before="0" w:after="240"/>
      <w:ind w:hanging="720" w:start="2160" w:end="0"/>
      <w:jc w:val="both"/>
      <w:outlineLvl w:val="3"/>
    </w:pPr>
    <w:rPr>
      <w:rFonts w:ascii="Times New Roman" w:hAnsi="Times New Roman" w:eastAsia="Times New Roman" w:cs="Times New Roman"/>
      <w:color w:val="auto"/>
      <w:sz w:val="24"/>
      <w:szCs w:val="20"/>
      <w:lang w:val="en-US" w:bidi="ar-SA" w:eastAsia="zh-CN"/>
    </w:rPr>
  </w:style>
  <w:style w:type="paragraph" w:styleId="TOC4Tab3">
    <w:name w:val="@TOC4Tab3"/>
    <w:qFormat/>
    <w:pPr>
      <w:widowControl/>
      <w:tabs>
        <w:tab w:val="clear" w:pos="720"/>
        <w:tab w:val="left" w:pos="2160" w:leader="none"/>
      </w:tabs>
      <w:bidi w:val="0"/>
      <w:spacing w:before="0" w:after="240"/>
      <w:ind w:firstLine="720" w:start="1440" w:end="0"/>
      <w:jc w:val="both"/>
      <w:outlineLvl w:val="3"/>
    </w:pPr>
    <w:rPr>
      <w:rFonts w:ascii="Times New Roman" w:hAnsi="Times New Roman" w:eastAsia="Times New Roman" w:cs="Times New Roman"/>
      <w:color w:val="auto"/>
      <w:sz w:val="24"/>
      <w:szCs w:val="20"/>
      <w:lang w:val="en-US" w:bidi="ar-SA" w:eastAsia="zh-CN"/>
    </w:rPr>
  </w:style>
  <w:style w:type="paragraph" w:styleId="EndnoteText12a">
    <w:name w:val="Endnote Text 12a"/>
    <w:basedOn w:val="EndnoteText11a"/>
    <w:qFormat/>
    <w:pPr>
      <w:spacing w:before="0" w:after="240"/>
    </w:pPr>
    <w:rPr/>
  </w:style>
  <w:style w:type="paragraph" w:styleId="EndnoteText12b">
    <w:name w:val="Endnote Text 12b"/>
    <w:basedOn w:val="EndnoteText11a"/>
    <w:qFormat/>
    <w:pPr>
      <w:spacing w:before="0" w:after="240"/>
      <w:ind w:hanging="576" w:start="576" w:end="0"/>
    </w:pPr>
    <w:rPr/>
  </w:style>
  <w:style w:type="paragraph" w:styleId="FootnoteText12a">
    <w:name w:val="Footnote Text 12a"/>
    <w:basedOn w:val="FootnoteText11a"/>
    <w:qFormat/>
    <w:pPr>
      <w:spacing w:before="0" w:after="240"/>
    </w:pPr>
    <w:rPr>
      <w:sz w:val="24"/>
    </w:rPr>
  </w:style>
  <w:style w:type="paragraph" w:styleId="FootnoteText12b">
    <w:name w:val="Footnote Text 12b"/>
    <w:basedOn w:val="FootnoteText11b"/>
    <w:qFormat/>
    <w:pPr>
      <w:tabs>
        <w:tab w:val="clear" w:pos="576"/>
      </w:tabs>
      <w:spacing w:before="0" w:after="240"/>
    </w:pPr>
    <w:rPr>
      <w:sz w:val="24"/>
    </w:rPr>
  </w:style>
  <w:style w:type="paragraph" w:styleId="MDCKBasic">
    <w:name w:val="MDCK Basic"/>
    <w:next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FootnoteText">
    <w:name w:val="footnote text"/>
    <w:pPr>
      <w:widowControl/>
      <w:bidi w:val="0"/>
      <w:spacing w:before="0" w:after="200"/>
      <w:jc w:val="both"/>
    </w:pPr>
    <w:rPr>
      <w:rFonts w:ascii="Times New Roman" w:hAnsi="Times New Roman" w:eastAsia="Times New Roman" w:cs="Times New Roman"/>
      <w:color w:val="auto"/>
      <w:sz w:val="20"/>
      <w:szCs w:val="20"/>
      <w:lang w:val="en-US" w:bidi="ar-SA" w:eastAsia="zh-CN"/>
    </w:rPr>
  </w:style>
  <w:style w:type="paragraph" w:styleId="cc">
    <w:name w:val="cc"/>
    <w:basedOn w:val="Normal"/>
    <w:qFormat/>
    <w:pPr>
      <w:ind w:hanging="720" w:start="720" w:end="0"/>
      <w:jc w:val="start"/>
    </w:pPr>
    <w:rPr/>
  </w:style>
  <w:style w:type="paragraph" w:styleId="Normal10pt">
    <w:name w:val="Normal10pt"/>
    <w:basedOn w:val="MDCKBasic"/>
    <w:qFormat/>
    <w:pPr/>
    <w:rPr>
      <w:sz w:val="20"/>
    </w:rPr>
  </w:style>
  <w:style w:type="paragraph" w:styleId="SignatureBlock1">
    <w:name w:val="Signature Block1"/>
    <w:basedOn w:val="MDCKBasic"/>
    <w:qFormat/>
    <w:pPr>
      <w:tabs>
        <w:tab w:val="clear" w:pos="720"/>
        <w:tab w:val="right" w:pos="9360" w:leader="none"/>
      </w:tabs>
      <w:spacing w:before="0" w:after="240"/>
      <w:ind w:hanging="0" w:start="4680" w:end="0"/>
      <w:jc w:val="start"/>
    </w:pPr>
    <w:rPr/>
  </w:style>
  <w:style w:type="paragraph" w:styleId="SignatureBlock2">
    <w:name w:val="Signature Block2"/>
    <w:basedOn w:val="SignatureBlock1"/>
    <w:qFormat/>
    <w:pPr>
      <w:spacing w:before="0" w:after="0"/>
    </w:pPr>
    <w:rPr/>
  </w:style>
  <w:style w:type="paragraph" w:styleId="Date">
    <w:name w:val="Date"/>
    <w:basedOn w:val="MDCKBasic"/>
    <w:next w:val="Normal"/>
    <w:qFormat/>
    <w:pPr>
      <w:spacing w:before="0" w:after="360"/>
      <w:jc w:val="center"/>
    </w:pPr>
    <w:rPr/>
  </w:style>
  <w:style w:type="paragraph" w:styleId="Signature">
    <w:name w:val="Signature"/>
    <w:basedOn w:val="Normal"/>
    <w:pPr>
      <w:ind w:hanging="0" w:start="4680" w:end="0"/>
    </w:pPr>
    <w:rPr/>
  </w:style>
  <w:style w:type="paragraph" w:styleId="Salutation">
    <w:name w:val="Salutation"/>
    <w:basedOn w:val="Normal"/>
    <w:next w:val="Normal"/>
    <w:qFormat/>
    <w:pPr>
      <w:spacing w:before="0" w:after="240"/>
      <w:jc w:val="start"/>
    </w:pPr>
    <w:rPr/>
  </w:style>
  <w:style w:type="paragraph" w:styleId="Address">
    <w:name w:val="Address"/>
    <w:basedOn w:val="MDCKBasic"/>
    <w:qFormat/>
    <w:pPr>
      <w:jc w:val="start"/>
    </w:pPr>
    <w:rPr/>
  </w:style>
  <w:style w:type="paragraph" w:styleId="BodyTextIndent">
    <w:name w:val="Body Text Indent"/>
    <w:basedOn w:val="Normal"/>
    <w:pPr>
      <w:ind w:hanging="1440" w:start="1440" w:end="0"/>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2001-05-30T16:45:00Z</dcterms:created>
  <dc:creator>HALM</dc:creator>
  <dc:description/>
  <cp:keywords>Normal.dot</cp:keywords>
  <dc:language>en-CA</dc:language>
  <cp:lastModifiedBy>mmagee</cp:lastModifiedBy>
  <cp:lastPrinted>2001-05-10T15:27:00Z</cp:lastPrinted>
  <dcterms:modified xsi:type="dcterms:W3CDTF">2001-05-30T16:45:00Z</dcterms:modified>
  <cp:revision>2</cp:revision>
  <dc:subject/>
  <dc:title>Normal.dot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HOU:649831.3 </vt:lpwstr>
  </property>
</Properties>
</file>