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Heading3"/>
        <w:rPr>
          <w:rFonts w:ascii="Arial" w:hAnsi="Arial" w:cs="Arial"/>
          <w:b w:val="false"/>
          <w:sz w:val="24"/>
          <w:u w:val="single"/>
        </w:rPr>
      </w:pPr>
      <w:r>
        <w:rPr>
          <w:rFonts w:cs="Arial"/>
          <w:b w:val="false"/>
          <w:sz w:val="24"/>
          <w:u w:val="single"/>
        </w:rPr>
      </w:r>
    </w:p>
    <w:p>
      <w:pPr>
        <w:pStyle w:val="Heading3"/>
        <w:rPr>
          <w:u w:val="single"/>
        </w:rPr>
      </w:pPr>
      <w:r>
        <w:rPr>
          <w:u w:val="single"/>
        </w:rPr>
      </w:r>
    </w:p>
    <w:p>
      <w:pPr>
        <w:pStyle w:val="Heading3"/>
        <w:rPr/>
      </w:pPr>
      <w:r>
        <w:rPr/>
        <w:tab/>
        <w:tab/>
        <w:tab/>
        <w:t xml:space="preserve">A Retrospective Look At Wholesale Gas </w:t>
      </w:r>
    </w:p>
    <w:p>
      <w:pPr>
        <w:pStyle w:val="Heading3"/>
        <w:rPr/>
      </w:pPr>
      <w:r>
        <w:rPr/>
        <w:tab/>
        <w:tab/>
        <w:tab/>
        <w:tab/>
        <w:t>Industry Restructuring</w:t>
      </w:r>
    </w:p>
    <w:p>
      <w:pPr>
        <w:pStyle w:val="Normal"/>
        <w:rPr>
          <w:rFonts w:ascii="Arial" w:hAnsi="Arial" w:cs="Arial"/>
          <w:b/>
          <w:sz w:val="28"/>
          <w:u w:val="single"/>
        </w:rPr>
      </w:pPr>
      <w:r>
        <w:rPr>
          <w:rFonts w:cs="Arial" w:ascii="Arial" w:hAnsi="Arial"/>
          <w:b/>
          <w:sz w:val="28"/>
          <w:u w:val="single"/>
        </w:rPr>
      </w:r>
    </w:p>
    <w:p>
      <w:pPr>
        <w:pStyle w:val="Normal"/>
        <w:rPr>
          <w:rFonts w:ascii="Arial" w:hAnsi="Arial" w:cs="Arial"/>
          <w:b/>
          <w:sz w:val="28"/>
          <w:u w:val="single"/>
        </w:rPr>
      </w:pPr>
      <w:r>
        <w:rPr>
          <w:rFonts w:cs="Arial" w:ascii="Arial" w:hAnsi="Arial"/>
          <w:b/>
          <w:sz w:val="28"/>
          <w:u w:val="single"/>
        </w:rPr>
      </w:r>
    </w:p>
    <w:p>
      <w:pPr>
        <w:pStyle w:val="Normal"/>
        <w:rPr>
          <w:rFonts w:ascii="Arial" w:hAnsi="Arial" w:cs="Arial"/>
          <w:b/>
          <w:sz w:val="28"/>
          <w:u w:val="single"/>
        </w:rPr>
      </w:pPr>
      <w:r>
        <w:rPr>
          <w:rFonts w:cs="Arial" w:ascii="Arial" w:hAnsi="Arial"/>
          <w:b/>
          <w:sz w:val="28"/>
          <w:u w:val="single"/>
        </w:rPr>
      </w:r>
    </w:p>
    <w:p>
      <w:pPr>
        <w:pStyle w:val="Normal"/>
        <w:rPr>
          <w:rFonts w:ascii="Arial" w:hAnsi="Arial" w:cs="Arial"/>
          <w:b/>
          <w:sz w:val="28"/>
          <w:u w:val="single"/>
        </w:rPr>
      </w:pPr>
      <w:r>
        <w:rPr>
          <w:rFonts w:cs="Arial" w:ascii="Arial" w:hAnsi="Arial"/>
          <w:b/>
          <w:sz w:val="28"/>
          <w:u w:val="single"/>
        </w:rPr>
      </w:r>
    </w:p>
    <w:p>
      <w:pPr>
        <w:pStyle w:val="Normal"/>
        <w:rPr>
          <w:rFonts w:ascii="Arial" w:hAnsi="Arial" w:cs="Arial"/>
          <w:b/>
          <w:sz w:val="28"/>
          <w:u w:val="single"/>
        </w:rPr>
      </w:pPr>
      <w:r>
        <w:rPr>
          <w:rFonts w:cs="Arial" w:ascii="Arial" w:hAnsi="Arial"/>
          <w:b/>
          <w:sz w:val="28"/>
          <w:u w:val="single"/>
        </w:rPr>
      </w:r>
    </w:p>
    <w:p>
      <w:pPr>
        <w:pStyle w:val="Normal"/>
        <w:rPr>
          <w:rFonts w:ascii="Arial" w:hAnsi="Arial" w:cs="Arial"/>
          <w:b/>
          <w:sz w:val="28"/>
          <w:u w:val="single"/>
        </w:rPr>
      </w:pPr>
      <w:r>
        <w:rPr>
          <w:rFonts w:cs="Arial" w:ascii="Arial" w:hAnsi="Arial"/>
          <w:b/>
          <w:sz w:val="28"/>
          <w:u w:val="single"/>
        </w:rPr>
      </w:r>
    </w:p>
    <w:p>
      <w:pPr>
        <w:pStyle w:val="Normal"/>
        <w:rPr>
          <w:rFonts w:ascii="Arial" w:hAnsi="Arial" w:cs="Arial"/>
          <w:b/>
          <w:sz w:val="28"/>
          <w:u w:val="single"/>
        </w:rPr>
      </w:pPr>
      <w:r>
        <w:rPr>
          <w:rFonts w:cs="Arial" w:ascii="Arial" w:hAnsi="Arial"/>
          <w:b/>
          <w:sz w:val="28"/>
          <w:u w:val="single"/>
        </w:rPr>
      </w:r>
    </w:p>
    <w:p>
      <w:pPr>
        <w:pStyle w:val="Normal"/>
        <w:rPr>
          <w:rFonts w:ascii="Arial" w:hAnsi="Arial" w:cs="Arial"/>
          <w:b/>
          <w:sz w:val="28"/>
          <w:u w:val="single"/>
        </w:rPr>
      </w:pPr>
      <w:r>
        <w:rPr>
          <w:rFonts w:cs="Arial" w:ascii="Arial" w:hAnsi="Arial"/>
          <w:b/>
          <w:sz w:val="28"/>
          <w:u w:val="single"/>
        </w:rPr>
      </w:r>
    </w:p>
    <w:p>
      <w:pPr>
        <w:pStyle w:val="Normal"/>
        <w:rPr>
          <w:rFonts w:ascii="Arial" w:hAnsi="Arial" w:cs="Arial"/>
          <w:b/>
          <w:sz w:val="28"/>
          <w:u w:val="single"/>
        </w:rPr>
      </w:pPr>
      <w:r>
        <w:rPr>
          <w:rFonts w:cs="Arial" w:ascii="Arial" w:hAnsi="Arial"/>
          <w:b/>
          <w:sz w:val="28"/>
          <w:u w:val="single"/>
        </w:rPr>
      </w:r>
    </w:p>
    <w:p>
      <w:pPr>
        <w:pStyle w:val="Normal"/>
        <w:rPr>
          <w:rFonts w:ascii="Arial" w:hAnsi="Arial" w:cs="Arial"/>
          <w:b/>
          <w:sz w:val="28"/>
          <w:u w:val="single"/>
        </w:rPr>
      </w:pPr>
      <w:r>
        <w:rPr>
          <w:rFonts w:cs="Arial" w:ascii="Arial" w:hAnsi="Arial"/>
          <w:b/>
          <w:sz w:val="28"/>
          <w:u w:val="single"/>
        </w:rPr>
      </w:r>
    </w:p>
    <w:p>
      <w:pPr>
        <w:pStyle w:val="Normal"/>
        <w:rPr>
          <w:rFonts w:ascii="Arial" w:hAnsi="Arial" w:cs="Arial"/>
          <w:b/>
          <w:sz w:val="28"/>
          <w:u w:val="single"/>
        </w:rPr>
      </w:pPr>
      <w:r>
        <w:rPr>
          <w:rFonts w:cs="Arial" w:ascii="Arial" w:hAnsi="Arial"/>
          <w:b/>
          <w:sz w:val="28"/>
          <w:u w:val="single"/>
        </w:rPr>
      </w:r>
    </w:p>
    <w:p>
      <w:pPr>
        <w:pStyle w:val="Normal"/>
        <w:rPr/>
      </w:pPr>
      <w:r>
        <w:rPr>
          <w:rFonts w:cs="Arial" w:ascii="Arial" w:hAnsi="Arial"/>
          <w:b/>
          <w:sz w:val="28"/>
        </w:rPr>
        <w:tab/>
        <w:tab/>
        <w:tab/>
      </w:r>
      <w:r>
        <w:rPr>
          <w:rFonts w:cs="Arial" w:ascii="Arial" w:hAnsi="Arial"/>
          <w:b/>
          <w:sz w:val="24"/>
        </w:rPr>
        <w:t>Prepared for the 20</w:t>
      </w:r>
      <w:r>
        <w:rPr>
          <w:rFonts w:cs="Arial" w:ascii="Arial" w:hAnsi="Arial"/>
          <w:b/>
          <w:sz w:val="24"/>
          <w:vertAlign w:val="superscript"/>
        </w:rPr>
        <w:t>th</w:t>
      </w:r>
      <w:r>
        <w:rPr>
          <w:rFonts w:cs="Arial" w:ascii="Arial" w:hAnsi="Arial"/>
          <w:b/>
          <w:sz w:val="24"/>
        </w:rPr>
        <w:t xml:space="preserve"> Annual CRRI Conference</w:t>
      </w:r>
    </w:p>
    <w:p>
      <w:pPr>
        <w:pStyle w:val="Normal"/>
        <w:rPr>
          <w:rFonts w:ascii="Arial" w:hAnsi="Arial" w:cs="Arial"/>
          <w:b/>
          <w:sz w:val="28"/>
        </w:rPr>
      </w:pPr>
      <w:r>
        <w:rPr>
          <w:rFonts w:cs="Arial" w:ascii="Arial" w:hAnsi="Arial"/>
          <w:b/>
          <w:sz w:val="28"/>
        </w:rPr>
      </w:r>
    </w:p>
    <w:p>
      <w:pPr>
        <w:pStyle w:val="Normal"/>
        <w:rPr/>
      </w:pPr>
      <w:r>
        <w:rPr>
          <w:rFonts w:cs="Arial" w:ascii="Arial" w:hAnsi="Arial"/>
          <w:b/>
          <w:sz w:val="28"/>
        </w:rPr>
        <w:tab/>
        <w:tab/>
        <w:tab/>
        <w:tab/>
        <w:tab/>
        <w:t xml:space="preserve">      </w:t>
      </w:r>
      <w:r>
        <w:rPr>
          <w:rFonts w:cs="Arial" w:ascii="Arial" w:hAnsi="Arial"/>
          <w:b/>
          <w:sz w:val="24"/>
        </w:rPr>
        <w:t>by</w:t>
      </w:r>
    </w:p>
    <w:p>
      <w:pPr>
        <w:pStyle w:val="Normal"/>
        <w:rPr>
          <w:rFonts w:ascii="Arial" w:hAnsi="Arial" w:cs="Arial"/>
          <w:b/>
          <w:sz w:val="28"/>
        </w:rPr>
      </w:pPr>
      <w:r>
        <w:rPr>
          <w:rFonts w:cs="Arial" w:ascii="Arial" w:hAnsi="Arial"/>
          <w:b/>
          <w:sz w:val="28"/>
        </w:rPr>
      </w:r>
    </w:p>
    <w:p>
      <w:pPr>
        <w:pStyle w:val="Normal"/>
        <w:rPr/>
      </w:pPr>
      <w:r>
        <w:rPr>
          <w:rFonts w:cs="Arial" w:ascii="Arial" w:hAnsi="Arial"/>
          <w:b/>
          <w:sz w:val="28"/>
        </w:rPr>
        <w:tab/>
        <w:tab/>
        <w:tab/>
        <w:t xml:space="preserve">  </w:t>
      </w:r>
      <w:r>
        <w:rPr>
          <w:rFonts w:cs="Arial" w:ascii="Arial" w:hAnsi="Arial"/>
          <w:b/>
          <w:sz w:val="24"/>
        </w:rPr>
        <w:t>Martin Collette and Jeffrey Leitzinger</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rPr>
      </w:pPr>
      <w:r>
        <w:rPr>
          <w:rFonts w:cs="Arial" w:ascii="Arial" w:hAnsi="Arial"/>
          <w:b/>
          <w:sz w:val="24"/>
        </w:rPr>
        <w:tab/>
        <w:tab/>
        <w:tab/>
        <w:tab/>
        <w:t>Econ One Research, Inc.</w:t>
      </w:r>
    </w:p>
    <w:p>
      <w:pPr>
        <w:pStyle w:val="Normal"/>
        <w:rPr>
          <w:rFonts w:ascii="Arial" w:hAnsi="Arial" w:cs="Arial"/>
          <w:b/>
          <w:sz w:val="24"/>
        </w:rPr>
      </w:pPr>
      <w:r>
        <w:rPr>
          <w:rFonts w:cs="Arial" w:ascii="Arial" w:hAnsi="Arial"/>
          <w:b/>
          <w:sz w:val="24"/>
        </w:rPr>
        <w:tab/>
        <w:tab/>
        <w:tab/>
        <w:tab/>
        <w:tab/>
        <w:t>May 2001</w:t>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Normal"/>
        <w:rPr>
          <w:rFonts w:ascii="Arial" w:hAnsi="Arial" w:cs="Arial"/>
          <w:b/>
          <w:sz w:val="24"/>
          <w:u w:val="single"/>
        </w:rPr>
      </w:pPr>
      <w:r>
        <w:rPr>
          <w:rFonts w:cs="Arial" w:ascii="Arial" w:hAnsi="Arial"/>
          <w:b/>
          <w:sz w:val="24"/>
          <w:u w:val="single"/>
        </w:rPr>
      </w:r>
    </w:p>
    <w:p>
      <w:pPr>
        <w:pStyle w:val="Heading2"/>
        <w:numPr>
          <w:ilvl w:val="0"/>
          <w:numId w:val="4"/>
        </w:numPr>
        <w:ind w:hanging="0" w:start="0"/>
        <w:rPr>
          <w:u w:val="none"/>
        </w:rPr>
      </w:pPr>
      <w:r>
        <w:rPr>
          <w:u w:val="none"/>
        </w:rPr>
        <w:t>INTRODUCTION and SUMMARY</w:t>
      </w:r>
    </w:p>
    <w:p>
      <w:pPr>
        <w:pStyle w:val="Normal"/>
        <w:rPr>
          <w:rFonts w:ascii="Arial" w:hAnsi="Arial" w:cs="Arial"/>
          <w:b/>
          <w:sz w:val="24"/>
          <w:u w:val="single"/>
        </w:rPr>
      </w:pPr>
      <w:r>
        <w:rPr>
          <w:rFonts w:cs="Arial" w:ascii="Arial" w:hAnsi="Arial"/>
          <w:b/>
          <w:sz w:val="24"/>
          <w:u w:val="single"/>
        </w:rPr>
      </w:r>
    </w:p>
    <w:p>
      <w:pPr>
        <w:pStyle w:val="BodyTextIndent"/>
        <w:ind w:hanging="0" w:end="0"/>
        <w:jc w:val="both"/>
        <w:rPr/>
      </w:pPr>
      <w:r>
        <w:rPr/>
        <w:t>More than fifteen years ago now, the Federal Energy Regulatory Commission (FERC) issued an Order regarding the enforceability of contract provisions regarding minimum payments between local gas distributors and the pipeline that served them.  Few appreciated that this Order marked the start of a ten year restructuring process that would fundamentally change the way the wholesale gas markets operate.</w:t>
      </w:r>
    </w:p>
    <w:p>
      <w:pPr>
        <w:pStyle w:val="BodyTextIndent"/>
        <w:ind w:hanging="0" w:end="0"/>
        <w:jc w:val="both"/>
        <w:rPr/>
      </w:pPr>
      <w:r>
        <w:rPr/>
      </w:r>
    </w:p>
    <w:p>
      <w:pPr>
        <w:pStyle w:val="BodyTextIndent"/>
        <w:ind w:hanging="0" w:end="0"/>
        <w:jc w:val="both"/>
        <w:rPr/>
      </w:pPr>
      <w:r>
        <w:rPr/>
        <w:t xml:space="preserve">The ultimate results of wholesale gas restructuring have been held out as a model case study for the benefits of competition and a blueprint for restructuring in other regulated industries.  Competition, unleashed by this restructuring, is widely regarded as having saved consumers $50 billion or more.  In the course of the process, regulated utilities were displaced in their traditional role as wholesale gas sellers by newly formed unregulated merchant companies. Advocates for restructuring in other industries often point to this changing of the guard as further evidence of efficiency-enhancing competition.  Indeed, replacing regulated incumbents with new “competitive,” “customer-oriented” companies has become a goal in itself in subsequent restructuring efforts. </w:t>
      </w:r>
    </w:p>
    <w:p>
      <w:pPr>
        <w:pStyle w:val="BodyTextIndent"/>
        <w:ind w:hanging="0" w:end="0"/>
        <w:jc w:val="both"/>
        <w:rPr/>
      </w:pPr>
      <w:r>
        <w:rPr/>
      </w:r>
    </w:p>
    <w:p>
      <w:pPr>
        <w:pStyle w:val="BodyTextIndent"/>
        <w:ind w:hanging="0" w:end="0"/>
        <w:jc w:val="both"/>
        <w:rPr/>
      </w:pPr>
      <w:r>
        <w:rPr/>
        <w:t>In reality, wholesale gas restructuring was less about the triumph of competitive efficiency over regulation than it was about regulatory change as a means for escaping the consequences of past commitments.  In the mid-1980s, wholesale gas markets were caught between the long-term contractual consequences of gas shortages that had occurred a decade before and the current market reflections of a worldwide surplus in energy.  Restructuring was an effort to solve this problem.</w:t>
      </w:r>
    </w:p>
    <w:p>
      <w:pPr>
        <w:pStyle w:val="BodyTextIndent"/>
        <w:ind w:hanging="0" w:end="0"/>
        <w:jc w:val="both"/>
        <w:rPr/>
      </w:pPr>
      <w:r>
        <w:rPr/>
      </w:r>
    </w:p>
    <w:p>
      <w:pPr>
        <w:pStyle w:val="BodyTextIndent"/>
        <w:ind w:hanging="0" w:end="0"/>
        <w:jc w:val="both"/>
        <w:rPr/>
      </w:pPr>
      <w:r>
        <w:rPr/>
        <w:t xml:space="preserve">That being said, there are a number of valuable lessons we can draw from the process about the consequences of regulatory change and the elements needed to allow competition to take its place.  The purpose of this paper is to discuss those lessons.  By way of summary: </w:t>
      </w:r>
    </w:p>
    <w:p>
      <w:pPr>
        <w:pStyle w:val="BodyTextIndent"/>
        <w:rPr/>
      </w:pPr>
      <w:r>
        <w:rPr/>
      </w:r>
    </w:p>
    <w:p>
      <w:pPr>
        <w:pStyle w:val="BodyTextIndent"/>
        <w:numPr>
          <w:ilvl w:val="0"/>
          <w:numId w:val="3"/>
        </w:numPr>
        <w:tabs>
          <w:tab w:val="clear" w:pos="720"/>
          <w:tab w:val="left" w:pos="1080" w:leader="none"/>
        </w:tabs>
        <w:ind w:hanging="360" w:start="1080" w:end="0"/>
        <w:jc w:val="both"/>
        <w:rPr/>
      </w:pPr>
      <w:r>
        <w:rPr/>
        <w:t>Consumers did not save billions of dollars because competition was allowed to operate.  Costs to consumers went down because restructuring stranded billions of dollars in contractual purchase obligations, leaving the utilities and producers who held those contractual rights to absorb the losses.</w:t>
      </w:r>
    </w:p>
    <w:p>
      <w:pPr>
        <w:pStyle w:val="BodyTextIndent"/>
        <w:ind w:hanging="0" w:start="720" w:end="0"/>
        <w:jc w:val="both"/>
        <w:rPr/>
      </w:pPr>
      <w:r>
        <w:rPr/>
      </w:r>
    </w:p>
    <w:p>
      <w:pPr>
        <w:pStyle w:val="BodyTextIndent"/>
        <w:numPr>
          <w:ilvl w:val="0"/>
          <w:numId w:val="3"/>
        </w:numPr>
        <w:tabs>
          <w:tab w:val="clear" w:pos="720"/>
          <w:tab w:val="left" w:pos="1080" w:leader="none"/>
        </w:tabs>
        <w:ind w:hanging="360" w:start="1080" w:end="0"/>
        <w:jc w:val="both"/>
        <w:rPr/>
      </w:pPr>
      <w:r>
        <w:rPr/>
        <w:t>Regulated wholesale merchants were not replaced by new entrants because of competitive efficiencies.  The restructuring process forced their exit by converting past contractual supply agreements into a current competitive liability.</w:t>
      </w:r>
    </w:p>
    <w:p>
      <w:pPr>
        <w:pStyle w:val="BodyTextIndent"/>
        <w:ind w:hanging="0" w:end="0"/>
        <w:rPr/>
      </w:pPr>
      <w:r>
        <w:rPr/>
      </w:r>
    </w:p>
    <w:p>
      <w:pPr>
        <w:pStyle w:val="BodyTextIndent"/>
        <w:numPr>
          <w:ilvl w:val="0"/>
          <w:numId w:val="3"/>
        </w:numPr>
        <w:tabs>
          <w:tab w:val="clear" w:pos="720"/>
          <w:tab w:val="left" w:pos="1080" w:leader="none"/>
        </w:tabs>
        <w:ind w:hanging="360" w:start="1080" w:end="0"/>
        <w:jc w:val="both"/>
        <w:rPr/>
      </w:pPr>
      <w:r>
        <w:rPr/>
        <w:t>Restructuring has reduced regulatory costs. Although, it is not at all clear that those savings outweigh the costs of the restructuring process itself.</w:t>
      </w:r>
    </w:p>
    <w:p>
      <w:pPr>
        <w:pStyle w:val="BodyTextIndent"/>
        <w:ind w:hanging="0" w:end="0"/>
        <w:jc w:val="both"/>
        <w:rPr/>
      </w:pPr>
      <w:r>
        <w:rPr/>
      </w:r>
    </w:p>
    <w:p>
      <w:pPr>
        <w:pStyle w:val="BodyTextIndent"/>
        <w:numPr>
          <w:ilvl w:val="0"/>
          <w:numId w:val="3"/>
        </w:numPr>
        <w:tabs>
          <w:tab w:val="clear" w:pos="720"/>
          <w:tab w:val="left" w:pos="1080" w:leader="none"/>
        </w:tabs>
        <w:ind w:hanging="360" w:start="1080" w:end="0"/>
        <w:jc w:val="both"/>
        <w:rPr/>
      </w:pPr>
      <w:r>
        <w:rPr/>
        <w:t>Competition in wholesale gas marketing has produced consumer benefits in the form of innovation, new product development and broader choices.</w:t>
      </w:r>
    </w:p>
    <w:p>
      <w:pPr>
        <w:pStyle w:val="BodyTextIndent"/>
        <w:ind w:hanging="0" w:end="0"/>
        <w:jc w:val="both"/>
        <w:rPr/>
      </w:pPr>
      <w:r>
        <w:rPr/>
      </w:r>
    </w:p>
    <w:p>
      <w:pPr>
        <w:pStyle w:val="BodyTextIndent"/>
        <w:numPr>
          <w:ilvl w:val="0"/>
          <w:numId w:val="3"/>
        </w:numPr>
        <w:tabs>
          <w:tab w:val="clear" w:pos="720"/>
          <w:tab w:val="left" w:pos="1080" w:leader="none"/>
        </w:tabs>
        <w:ind w:hanging="360" w:start="1080" w:end="0"/>
        <w:jc w:val="both"/>
        <w:rPr/>
      </w:pPr>
      <w:r>
        <w:rPr/>
        <w:t>Bi-lateral contracting readily led to the development of gas markets which, in turn, produced market-wide diffusion and integration of pricing.  It was not necessary to create a central exchange.</w:t>
      </w:r>
    </w:p>
    <w:p>
      <w:pPr>
        <w:pStyle w:val="BodyTextIndent"/>
        <w:ind w:hanging="0" w:end="0"/>
        <w:jc w:val="both"/>
        <w:rPr/>
      </w:pPr>
      <w:r>
        <w:rPr/>
      </w:r>
    </w:p>
    <w:p>
      <w:pPr>
        <w:pStyle w:val="BodyTextIndent"/>
        <w:numPr>
          <w:ilvl w:val="0"/>
          <w:numId w:val="3"/>
        </w:numPr>
        <w:tabs>
          <w:tab w:val="clear" w:pos="720"/>
          <w:tab w:val="left" w:pos="1080" w:leader="none"/>
        </w:tabs>
        <w:ind w:hanging="360" w:start="1080" w:end="0"/>
        <w:jc w:val="both"/>
        <w:rPr/>
      </w:pPr>
      <w:r>
        <w:rPr/>
        <w:t xml:space="preserve">Codes of conduct have prevented widespread use of market power in natural monopoly functions to inhibit developing competition.  </w:t>
      </w:r>
    </w:p>
    <w:p>
      <w:pPr>
        <w:pStyle w:val="BodyTextIndent"/>
        <w:ind w:hanging="0" w:end="0"/>
        <w:jc w:val="both"/>
        <w:rPr/>
      </w:pPr>
      <w:r>
        <w:rPr/>
      </w:r>
    </w:p>
    <w:p>
      <w:pPr>
        <w:pStyle w:val="BodyTextIndent"/>
        <w:numPr>
          <w:ilvl w:val="0"/>
          <w:numId w:val="3"/>
        </w:numPr>
        <w:tabs>
          <w:tab w:val="clear" w:pos="720"/>
          <w:tab w:val="left" w:pos="1080" w:leader="none"/>
        </w:tabs>
        <w:ind w:hanging="360" w:start="1080" w:end="0"/>
        <w:jc w:val="both"/>
        <w:rPr/>
      </w:pPr>
      <w:r>
        <w:rPr/>
        <w:t>Congestion pricing was not an issue.</w:t>
      </w:r>
    </w:p>
    <w:p>
      <w:pPr>
        <w:pStyle w:val="BodyTextIndent"/>
        <w:ind w:hanging="0" w:end="0"/>
        <w:rPr/>
      </w:pPr>
      <w:r>
        <w:rPr/>
      </w:r>
    </w:p>
    <w:p>
      <w:pPr>
        <w:pStyle w:val="BodyTextIndent"/>
        <w:ind w:hanging="0" w:end="0"/>
        <w:rPr/>
      </w:pPr>
      <w:r>
        <w:rPr/>
      </w:r>
    </w:p>
    <w:p>
      <w:pPr>
        <w:pStyle w:val="BodyTextIndent"/>
        <w:ind w:hanging="0" w:end="0"/>
        <w:rPr/>
      </w:pPr>
      <w:r>
        <w:rPr/>
      </w:r>
    </w:p>
    <w:p>
      <w:pPr>
        <w:pStyle w:val="Heading4"/>
        <w:rPr/>
      </w:pPr>
      <w:r>
        <w:rPr/>
        <w:t>II.</w:t>
        <w:tab/>
        <w:t>BACKDROP TO WHOLESALE GAS DEREGULATION</w:t>
      </w:r>
    </w:p>
    <w:p>
      <w:pPr>
        <w:pStyle w:val="Normal"/>
        <w:rPr>
          <w:rFonts w:ascii="Arial" w:hAnsi="Arial" w:cs="Arial"/>
          <w:sz w:val="24"/>
        </w:rPr>
      </w:pPr>
      <w:r>
        <w:rPr>
          <w:rFonts w:cs="Arial" w:ascii="Arial" w:hAnsi="Arial"/>
          <w:sz w:val="24"/>
        </w:rPr>
      </w:r>
    </w:p>
    <w:p>
      <w:pPr>
        <w:pStyle w:val="BodyTextIndent"/>
        <w:ind w:hanging="0" w:end="0"/>
        <w:jc w:val="both"/>
        <w:rPr/>
      </w:pPr>
      <w:r>
        <w:rPr/>
        <w:t>There were several features of the wholesale natural gas industry as of the early 1980s that set the stage for restructuring and deregulation.  They included natural monopoly transportation systems, vertical integration, bundled services and regulatory control over pricing, terms of service and entry.</w:t>
      </w:r>
    </w:p>
    <w:p>
      <w:pPr>
        <w:pStyle w:val="Normal"/>
        <w:ind w:firstLine="720" w:end="0"/>
        <w:rPr>
          <w:rFonts w:ascii="Arial" w:hAnsi="Arial" w:cs="Arial"/>
          <w:sz w:val="24"/>
        </w:rPr>
      </w:pPr>
      <w:r>
        <w:rPr>
          <w:rFonts w:cs="Arial" w:ascii="Arial" w:hAnsi="Arial"/>
          <w:sz w:val="24"/>
        </w:rPr>
      </w:r>
    </w:p>
    <w:p>
      <w:pPr>
        <w:pStyle w:val="Normal"/>
        <w:numPr>
          <w:ilvl w:val="0"/>
          <w:numId w:val="1"/>
        </w:numPr>
        <w:rPr>
          <w:rFonts w:ascii="Arial" w:hAnsi="Arial" w:cs="Arial"/>
          <w:b/>
          <w:sz w:val="24"/>
        </w:rPr>
      </w:pPr>
      <w:r>
        <w:rPr>
          <w:rFonts w:cs="Arial" w:ascii="Arial" w:hAnsi="Arial"/>
          <w:b/>
          <w:sz w:val="24"/>
        </w:rPr>
        <w:t>Natural Monopolies in Transportation</w:t>
      </w:r>
    </w:p>
    <w:p>
      <w:pPr>
        <w:pStyle w:val="Normal"/>
        <w:rPr>
          <w:rFonts w:ascii="Arial" w:hAnsi="Arial" w:cs="Arial"/>
          <w:b/>
          <w:sz w:val="24"/>
        </w:rPr>
      </w:pPr>
      <w:r>
        <w:rPr>
          <w:rFonts w:cs="Arial" w:ascii="Arial" w:hAnsi="Arial"/>
          <w:b/>
          <w:sz w:val="24"/>
        </w:rPr>
      </w:r>
    </w:p>
    <w:p>
      <w:pPr>
        <w:pStyle w:val="BodyTextIndent"/>
        <w:ind w:hanging="0" w:end="0"/>
        <w:jc w:val="both"/>
        <w:rPr/>
      </w:pPr>
      <w:r>
        <w:rPr/>
        <w:t>Natural gas is produced from naturally occurring formations or reservoirs.  In the early 1980s (and still today), most gas reservoirs were found in Texas, New Mexico, Louisiana, Oklahoma, the Gulf of Mexico, Western Canada and the Rocky Mountains.  The markets for gas consumption arose in populated areas or in a few remote locations occupied by large industrial gas users.</w:t>
      </w:r>
    </w:p>
    <w:p>
      <w:pPr>
        <w:pStyle w:val="BodyTextIndent"/>
        <w:ind w:hanging="0" w:end="0"/>
        <w:jc w:val="both"/>
        <w:rPr/>
      </w:pPr>
      <w:r>
        <w:rPr/>
      </w:r>
    </w:p>
    <w:p>
      <w:pPr>
        <w:pStyle w:val="BodyTextIndent"/>
        <w:ind w:hanging="0" w:end="0"/>
        <w:jc w:val="both"/>
        <w:rPr/>
      </w:pPr>
      <w:r>
        <w:rPr/>
        <w:t>Hence, it was (and is) necessary to transport most of the gas consumed in this country long distances from production areas to consumption markets.  That service is performed by pressurized gas pipelines.  Gas can also be transported by first liquefying it, moving tanks of the liquid (by truck, train or ship) and then re-gasifying the liquid at the point of consumption.  However, where pipelines exist--onshore and for delivery of gas onshore from coastal waters--they are much more cost effective.  And, since most of the gas consumed in the US is produced onshore or in coastal waters, pipelines are, for the most part, the standard means for transportation.</w:t>
      </w:r>
    </w:p>
    <w:p>
      <w:pPr>
        <w:pStyle w:val="Normal"/>
        <w:ind w:firstLine="720" w:end="0"/>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Because of the importance of fixed costs required to build the pipeline itself and for its right-of-way, pipelines generally exhibit scale economies with respect to the amount of throughput they are designed to handle.  In the simple case of building pipe to serve a new gas reservoir or group of reservoirs with a known production capability, a single (monopoly) pipe designed to handle the entire volume will do so at the lowest cost.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Growth over time in the productive capability of known gas reserves--due, say, to improved drilling techniques or the development of deeper previously unknown producing zones--can lead to the construction of multiple pipes serving a given producing area.  Similarly, growth in the size of consumption markets or the need to tap geographically disparate supply areas to meet market demand has given rise to market areas served by multiple pipelines.  Finally, as newly developing producing areas and consumption markets justified new pipeline construction, those new facilities were in many cases sized (or routed) to serve other existing markets or producers along the way, providing new competitive alternatives in what had been monopoly transportation markets.</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 xml:space="preserve">Nonetheless, as is shown in Table 1, most market areas are served by relatively few major pipelines. </w:t>
      </w:r>
      <w:r>
        <w:rPr>
          <w:rFonts w:cs="Arial" w:ascii="Arial" w:hAnsi="Arial"/>
          <w:b/>
          <w:sz w:val="24"/>
        </w:rPr>
        <w:t xml:space="preserve"> </w:t>
      </w:r>
      <w:r>
        <w:rPr>
          <w:rFonts w:cs="Arial" w:ascii="Arial" w:hAnsi="Arial"/>
          <w:sz w:val="24"/>
        </w:rPr>
        <w:t>Indeed, apart from the largest 10 or 15 metropolitan areas, monopoly pipeline service is the norm. Consequently, one cannot rely on competition to maintain long-run consistency between pipeline costs and the rates that shippers pay for service.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The physical pipeline facilities needed to move gas from the producing wellhead to the market burner tip can be divided into three more or less distinct market segments.  First is gathering. As it leaves the wellhead, gas moves through small diameter pipe, sized to match the production of that well or, in some cases, also of adjoining wells.  These small diameter lines gather gas from individual well locations to central collection points where it can be combined with the flow from many such points and in a larger diameter more efficient pipeline. Gas is often measured, treated and processed at (or upstream of) these central collection points.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The larger diameter pipelines that connect with the central collection points on the gathering system are known as trunklines.  Because of the distance gas typically travels to market, most trunklines cross state boundaries and are therefore referred to as interstate pipelines.  However, there are some intrastate trunklines moving gas from producing areas to markets entirely within the boundaries of a single state.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At the market area, gas in the trunkline is re-channeled back into smaller diameter (lower pressure) lines for delivery to individual households and businesses.  The pipeline system used to move gas from trunklines to customers is known as the local distribution system.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The transportation service provided by the gathering system is associated functionally--and often by ownership--with the economic activity of gas production. Local distribution companies (LDCs) own the local distribution systems and provide delivered gas service directly to end users.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As of the early 1980s, the wholesale gas business was conducted almost entirely by interstate pipelines.  Hence, it is interstate pipelines around which the efforts to restructure and deregulate the wholesale business were centered.   </w:t>
      </w:r>
    </w:p>
    <w:p>
      <w:pPr>
        <w:pStyle w:val="Normal"/>
        <w:ind w:firstLine="720" w:end="0"/>
        <w:rPr>
          <w:rFonts w:ascii="Arial" w:hAnsi="Arial" w:cs="Arial"/>
          <w:sz w:val="24"/>
        </w:rPr>
      </w:pPr>
      <w:r>
        <w:rPr>
          <w:rFonts w:cs="Arial" w:ascii="Arial" w:hAnsi="Arial"/>
          <w:sz w:val="24"/>
        </w:rPr>
      </w:r>
    </w:p>
    <w:p>
      <w:pPr>
        <w:pStyle w:val="Heading1"/>
        <w:ind w:hanging="0" w:start="0"/>
        <w:rPr/>
      </w:pPr>
      <w:r>
        <w:rPr/>
        <w:t>Vertical Integration</w:t>
      </w:r>
    </w:p>
    <w:p>
      <w:pPr>
        <w:pStyle w:val="Normal"/>
        <w:ind w:start="720" w:end="0"/>
        <w:rPr>
          <w:rFonts w:ascii="Arial" w:hAnsi="Arial" w:cs="Arial"/>
          <w:sz w:val="24"/>
        </w:rPr>
      </w:pPr>
      <w:r>
        <w:rPr>
          <w:rFonts w:cs="Arial" w:ascii="Arial" w:hAnsi="Arial"/>
          <w:sz w:val="24"/>
        </w:rPr>
      </w:r>
    </w:p>
    <w:p>
      <w:pPr>
        <w:pStyle w:val="Normal"/>
        <w:jc w:val="both"/>
        <w:rPr/>
      </w:pPr>
      <w:r>
        <w:rPr>
          <w:rFonts w:cs="Arial" w:ascii="Arial" w:hAnsi="Arial"/>
          <w:sz w:val="24"/>
        </w:rPr>
        <w:t>The flow conditions that optimize the economics of gas production, do not usually match the day-to-day demand for gas.  Production is optimized through consistent gas flow</w:t>
      </w:r>
      <w:r>
        <w:rPr>
          <w:rStyle w:val="FootnoteCharacters"/>
          <w:rStyle w:val="FootnoteReference"/>
          <w:rFonts w:cs="Arial" w:ascii="Arial" w:hAnsi="Arial"/>
          <w:sz w:val="24"/>
        </w:rPr>
        <w:footnoteReference w:id="2"/>
      </w:r>
      <w:r>
        <w:rPr>
          <w:rFonts w:cs="Arial" w:ascii="Arial" w:hAnsi="Arial"/>
          <w:sz w:val="24"/>
        </w:rPr>
        <w:t>, while market demand fluctuates with temperature and the level of economic activity.  Consequently, a second valuable service in the gas industry is storage.  Storage is provided through the use of pressurized underground repositories with associated facilities to inject and withdraw natural gas.</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As of the mid 1980s, more than 70 percent of this country’s storage capacity  was owned by interstate pipelines.</w:t>
      </w:r>
      <w:r>
        <w:rPr>
          <w:rStyle w:val="FootnoteCharacters"/>
          <w:rStyle w:val="FootnoteReference"/>
          <w:rFonts w:cs="Arial" w:ascii="Arial" w:hAnsi="Arial"/>
          <w:sz w:val="24"/>
        </w:rPr>
        <w:footnoteReference w:id="3"/>
      </w:r>
      <w:r>
        <w:rPr>
          <w:rFonts w:cs="Arial" w:ascii="Arial" w:hAnsi="Arial"/>
          <w:sz w:val="24"/>
        </w:rPr>
        <w:t xml:space="preserve">  Hence, the interstate pipelines provided services needed to shift gas both with respect to location and timing as it moved from producers to consumers.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This integration in the ownership of pipeline and storage assets arose in some part through economies associated with the joint operation of storage and pipeline systems.  The pipeline itself can be used for limited storage by altering the amount of gas packed in the pipeline itself.  There can be operational economies in jointly using pipeline line pack along with storage facilities to accommodate customer needs for flexibility in the timing of gas delivery.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Moreover, storage can substitute for physical pipeline capacity.  Rather than build capacity to serve peak market demand along the entire length of the line, one can locate storage somewhere along the pipeline--presumably at or near the delivery end--build less capacity up to that point, but utilize it more fully.  The optimization of combined pipeline/storage assets to achieve least-cost peak delivery availability in the market area therefore provides further impetus for vertical integration.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Finally, the ability to pool aggregate needs of individual customers, using offsetting variations in their individual demand to smooth the overall delivery pattern makes the gas aggregator--typically the pipeline during the early 1980s--the natural storage customer.  The bilateral contracting costs that would otherwise have existed between the natural monopoly pipeline and the natural monopoly storage owner serving that system have long been recognized by economists as conducive to vertical integration.</w:t>
      </w:r>
      <w:r>
        <w:rPr>
          <w:rStyle w:val="FootnoteCharacters"/>
          <w:rStyle w:val="FootnoteReference"/>
          <w:rFonts w:cs="Arial" w:ascii="Arial" w:hAnsi="Arial"/>
          <w:sz w:val="24"/>
        </w:rPr>
        <w:footnoteReference w:id="4"/>
      </w:r>
    </w:p>
    <w:p>
      <w:pPr>
        <w:pStyle w:val="Normal"/>
        <w:rPr>
          <w:rFonts w:ascii="Arial" w:hAnsi="Arial" w:cs="Arial"/>
          <w:sz w:val="24"/>
        </w:rPr>
      </w:pPr>
      <w:r>
        <w:rPr>
          <w:rFonts w:cs="Arial" w:ascii="Arial" w:hAnsi="Arial"/>
          <w:sz w:val="24"/>
        </w:rPr>
      </w:r>
    </w:p>
    <w:p>
      <w:pPr>
        <w:pStyle w:val="Heading1"/>
        <w:ind w:hanging="0" w:start="0"/>
        <w:rPr/>
      </w:pPr>
      <w:r>
        <w:rPr/>
        <w:t xml:space="preserve">Bundling </w:t>
      </w:r>
    </w:p>
    <w:p>
      <w:pPr>
        <w:pStyle w:val="Normal"/>
        <w:rPr>
          <w:rFonts w:ascii="Arial" w:hAnsi="Arial" w:cs="Arial"/>
          <w:sz w:val="24"/>
        </w:rPr>
      </w:pPr>
      <w:r>
        <w:rPr>
          <w:rFonts w:cs="Arial" w:ascii="Arial" w:hAnsi="Arial"/>
          <w:sz w:val="24"/>
        </w:rPr>
      </w:r>
    </w:p>
    <w:p>
      <w:pPr>
        <w:pStyle w:val="BodyTextIndent"/>
        <w:ind w:hanging="0" w:end="0"/>
        <w:jc w:val="both"/>
        <w:rPr/>
      </w:pPr>
      <w:r>
        <w:rPr/>
        <w:t xml:space="preserve">As of the early 1980s, the wholesale gas business was to a great extent a bundled business. That is, gas was sold at the wholesale level as part of a bundled service that included the commodity, interstate transportation, storage and any associated metering and billing services.  The interstate pipelines purchased gas in producing areas or at upstream connections with other pipelines.  They entered into contracts with LDCs and end users to deliver gas to the customer’s facilities under contractually specified nomination rules that gave the customer the flexibility to take volume--within contractually stated minimum and maximum levels--as needed.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In some cases, customers agreed at a minimum to pay for certain total quantities over the course of a year (under provisions known as “minimum annual bills.”)  This service was provided at a single bundled price--although a system of fixed and variable charges was sometimes used to separately price the customer’s reservation for service on the one hand and its actual use of that service on the other.  That single bundled price provided payment for the commodity, transportation, storage, storage capacity metering and billing services.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Apart from natural distinctions emerging from normal operations, there was no effort within interstate pipelines in the 1980s to internally segregate individuals focused on storage service, transmission, commodity procurement or customer contracting. The various services were all part of the standard interstate-pipeline product offering; it made good business sense--and there was no countervailing regulatory concern--to use the various elements of the package together to maintain and protect the pipeline’s full-service role with its customers.</w:t>
      </w:r>
    </w:p>
    <w:p>
      <w:pPr>
        <w:pStyle w:val="Normal"/>
        <w:ind w:firstLine="720" w:end="0"/>
        <w:rPr>
          <w:rFonts w:ascii="Arial" w:hAnsi="Arial" w:cs="Arial"/>
          <w:sz w:val="24"/>
        </w:rPr>
      </w:pPr>
      <w:r>
        <w:rPr>
          <w:rFonts w:cs="Arial" w:ascii="Arial" w:hAnsi="Arial"/>
          <w:sz w:val="24"/>
        </w:rPr>
      </w:r>
    </w:p>
    <w:p>
      <w:pPr>
        <w:pStyle w:val="Heading1"/>
        <w:ind w:hanging="0" w:start="0"/>
        <w:rPr/>
      </w:pPr>
      <w:r>
        <w:rPr/>
        <w:t>Regulation</w:t>
      </w:r>
    </w:p>
    <w:p>
      <w:pPr>
        <w:pStyle w:val="Normal"/>
        <w:rPr>
          <w:rFonts w:ascii="Arial" w:hAnsi="Arial" w:cs="Arial"/>
          <w:sz w:val="24"/>
        </w:rPr>
      </w:pPr>
      <w:r>
        <w:rPr>
          <w:rFonts w:cs="Arial" w:ascii="Arial" w:hAnsi="Arial"/>
          <w:sz w:val="24"/>
        </w:rPr>
      </w:r>
    </w:p>
    <w:p>
      <w:pPr>
        <w:pStyle w:val="BodyTextIndent"/>
        <w:ind w:hanging="0" w:end="0"/>
        <w:jc w:val="both"/>
        <w:rPr/>
      </w:pPr>
      <w:r>
        <w:rPr/>
        <w:t>Interstate pipelines were (and are) regulated by the Federal Energy Regulatory Commission (FERC).  In the mid-1980s, FERC maintained tight control over entry and exit from the business. Certificates of public convenience and necessity, granted as a condition of entry, required the provision of service until FERC authorized the company to stop doing so.</w:t>
      </w:r>
    </w:p>
    <w:p>
      <w:pPr>
        <w:pStyle w:val="Normal"/>
        <w:ind w:firstLine="720" w:end="0"/>
        <w:rPr>
          <w:rFonts w:ascii="Arial" w:hAnsi="Arial" w:cs="Arial"/>
          <w:sz w:val="24"/>
        </w:rPr>
      </w:pPr>
      <w:r>
        <w:rPr>
          <w:rFonts w:cs="Arial" w:ascii="Arial" w:hAnsi="Arial"/>
          <w:sz w:val="24"/>
        </w:rPr>
      </w:r>
    </w:p>
    <w:p>
      <w:pPr>
        <w:pStyle w:val="BodyTextIndent"/>
        <w:ind w:hanging="0" w:end="0"/>
        <w:jc w:val="both"/>
        <w:rPr/>
      </w:pPr>
      <w:r>
        <w:rPr/>
        <w:t>FERC also controlled pricing for the industry.  Every few years, pipelines had rate cases establishing cost-of-service rates for their combined facilities (transmission and storage assets, as well as administrative facilities). Pipelines also made semi-annual filings with regulators designed to track their commodity costs and over time and conform customer payments to those costs.  Pipelines made their money through an allowed return on the capital they invested in transmission and storage facilities.  No margin was allowed on merchant activities associated with the commodity itself.</w:t>
      </w:r>
    </w:p>
    <w:p>
      <w:pPr>
        <w:pStyle w:val="Normal"/>
        <w:rPr>
          <w:rFonts w:ascii="Arial" w:hAnsi="Arial" w:cs="Arial"/>
          <w:sz w:val="24"/>
        </w:rPr>
      </w:pPr>
      <w:r>
        <w:rPr>
          <w:rFonts w:cs="Arial" w:ascii="Arial" w:hAnsi="Arial"/>
          <w:sz w:val="24"/>
        </w:rPr>
      </w:r>
    </w:p>
    <w:p>
      <w:pPr>
        <w:pStyle w:val="BodyText"/>
        <w:rPr/>
      </w:pPr>
      <w:r>
        <w:rPr/>
        <w:t xml:space="preserve">In the mid-1980s, FERC also provided oversight regarding pipelines’ contractual relationships for buying and selling gas and administered a system of wellhead ceiling prices for gas of different types, locations and vintages.  In most cases, the contractual relationships between producers, pipelines and their customers were multi-year contracts.  FERC could deny the pipeline its ability to recover gas purchase costs in its rates if it deemed the contracts used to buy that gas to be imprudent.  </w:t>
      </w:r>
    </w:p>
    <w:p>
      <w:pPr>
        <w:pStyle w:val="Normal"/>
        <w:rPr>
          <w:rFonts w:ascii="Arial" w:hAnsi="Arial" w:cs="Arial"/>
          <w:sz w:val="24"/>
        </w:rPr>
      </w:pPr>
      <w:r>
        <w:rPr>
          <w:rFonts w:cs="Arial" w:ascii="Arial" w:hAnsi="Arial"/>
          <w:sz w:val="24"/>
        </w:rPr>
      </w:r>
    </w:p>
    <w:p>
      <w:pPr>
        <w:pStyle w:val="Normal"/>
        <w:numPr>
          <w:ilvl w:val="0"/>
          <w:numId w:val="1"/>
        </w:numPr>
        <w:rPr>
          <w:rFonts w:ascii="Arial" w:hAnsi="Arial" w:cs="Arial"/>
          <w:b/>
          <w:sz w:val="24"/>
        </w:rPr>
      </w:pPr>
      <w:r>
        <w:rPr>
          <w:rFonts w:cs="Arial" w:ascii="Arial" w:hAnsi="Arial"/>
          <w:b/>
          <w:sz w:val="24"/>
        </w:rPr>
        <w:t>The Absence of Unregulated Markets</w:t>
      </w:r>
    </w:p>
    <w:p>
      <w:pPr>
        <w:pStyle w:val="Normal"/>
        <w:rPr>
          <w:rFonts w:ascii="Arial" w:hAnsi="Arial" w:cs="Arial"/>
          <w:b/>
          <w:sz w:val="24"/>
        </w:rPr>
      </w:pPr>
      <w:r>
        <w:rPr>
          <w:rFonts w:cs="Arial" w:ascii="Arial" w:hAnsi="Arial"/>
          <w:b/>
          <w:sz w:val="24"/>
        </w:rPr>
      </w:r>
    </w:p>
    <w:p>
      <w:pPr>
        <w:pStyle w:val="BodyTextIndent"/>
        <w:ind w:hanging="0" w:end="0"/>
        <w:jc w:val="both"/>
        <w:rPr/>
      </w:pPr>
      <w:r>
        <w:rPr/>
        <w:t xml:space="preserve">In the mid-1980s, there were active wellhead markets for natural gas.  In these markets, gas producers (the production arms of the large integrated oil companies and a number of large and not so large independent gas producers) and interstate pipeline buyers came together and, through their transactions, established wellhead gas prices.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For the most part however, there was little by way of true market activity from that point on. Given the bundled character of the commodity and interstate transportation, most gas didn’t change hands again until it reached the LDC city gate.  Moreover, at that point, the sale to the LDC was more a regulated transfer than it was a market transaction.   FERC decided who could contract and under what terms.  Pricing was a foregone conclusion of the cost-of-service rates currently applicable to the interstate seller.  These were no markets in any meaningful economic sense.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For these same reasons, there was little by way of market activity for transportation or storage service.  Some interstate pipelines did contract with one another for gas or transportation service. Here again however, the terms were largely dictated by then applicable cost-of-service rates.  FERC had ultimate authority and responsibility for approving transportation or storage service arrangements.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Hence, the wholesale gas business in the mid-1980s had all of the features that have come to be recognized as challenges for any effort to introduce competition through restructuring.  There were transportation scale economies, highly bundled services, vertical integration in ownership, internal integration in the delivery and marketing of the bundled services and a lack of well-functioning external markets for components of the bundled service.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III.</w:t>
        <w:tab/>
        <w:t>THE PROCESS OF WHOLESALE GAS RESTRUCTURING</w:t>
      </w:r>
    </w:p>
    <w:p>
      <w:pPr>
        <w:pStyle w:val="Normal"/>
        <w:rPr>
          <w:rFonts w:ascii="Arial" w:hAnsi="Arial" w:cs="Arial"/>
          <w:b/>
          <w:sz w:val="24"/>
        </w:rPr>
      </w:pPr>
      <w:r>
        <w:rPr>
          <w:rFonts w:cs="Arial" w:ascii="Arial" w:hAnsi="Arial"/>
          <w:b/>
          <w:sz w:val="24"/>
        </w:rPr>
      </w:r>
    </w:p>
    <w:p>
      <w:pPr>
        <w:pStyle w:val="Heading1"/>
        <w:numPr>
          <w:ilvl w:val="0"/>
          <w:numId w:val="10"/>
        </w:numPr>
        <w:ind w:hanging="0" w:start="0"/>
        <w:rPr/>
      </w:pPr>
      <w:r>
        <w:rPr/>
        <w:t>The Impetus For Change</w:t>
      </w:r>
    </w:p>
    <w:p>
      <w:pPr>
        <w:pStyle w:val="Normal"/>
        <w:rPr>
          <w:rFonts w:ascii="Arial" w:hAnsi="Arial" w:cs="Arial"/>
          <w:sz w:val="24"/>
        </w:rPr>
      </w:pPr>
      <w:r>
        <w:rPr>
          <w:rFonts w:cs="Arial" w:ascii="Arial" w:hAnsi="Arial"/>
          <w:sz w:val="24"/>
        </w:rPr>
      </w:r>
    </w:p>
    <w:p>
      <w:pPr>
        <w:pStyle w:val="BodyTextIndent"/>
        <w:ind w:hanging="0" w:end="0"/>
        <w:jc w:val="both"/>
        <w:rPr/>
      </w:pPr>
      <w:r>
        <w:rPr/>
        <w:t>Restructuring in the wholesale gas business was as much an accidental result that snowballed from more limited objectives than it was a comprehensive plan born of some sea-change in policy. In understanding the manner and consequences of the changes that occurred in the business beginning in the mid-1980s, it is therefore important to understand the more limited issues the regulators and other proponents of change were trying to address.</w:t>
      </w:r>
    </w:p>
    <w:p>
      <w:pPr>
        <w:pStyle w:val="Normal"/>
        <w:ind w:firstLine="720" w:end="0"/>
        <w:jc w:val="both"/>
        <w:rPr>
          <w:rFonts w:ascii="Arial" w:hAnsi="Arial" w:cs="Arial"/>
          <w:sz w:val="24"/>
        </w:rPr>
      </w:pPr>
      <w:r>
        <w:rPr>
          <w:rFonts w:cs="Arial" w:ascii="Arial" w:hAnsi="Arial"/>
          <w:sz w:val="24"/>
        </w:rPr>
      </w:r>
    </w:p>
    <w:p>
      <w:pPr>
        <w:pStyle w:val="Normal"/>
        <w:jc w:val="both"/>
        <w:rPr/>
      </w:pPr>
      <w:r>
        <w:rPr>
          <w:rFonts w:cs="Arial" w:ascii="Arial" w:hAnsi="Arial"/>
          <w:sz w:val="24"/>
        </w:rPr>
        <w:t>In the late 1970s, gas shortages--combined with dire predictions about the future upward spiral in energy prices generally--led Congress to reform the then-existing system for wellhead price regulation.</w:t>
      </w:r>
      <w:r>
        <w:rPr>
          <w:rStyle w:val="FootnoteCharacters"/>
          <w:rStyle w:val="FootnoteReference"/>
          <w:rFonts w:cs="Arial" w:ascii="Arial" w:hAnsi="Arial"/>
          <w:sz w:val="24"/>
        </w:rPr>
        <w:footnoteReference w:id="5"/>
      </w:r>
      <w:r>
        <w:rPr>
          <w:rFonts w:cs="Arial" w:ascii="Arial" w:hAnsi="Arial"/>
          <w:sz w:val="24"/>
        </w:rPr>
        <w:t xml:space="preserve">  At the time, area-wide price ceilings allowed for a maximum price of just under $2.00/Mcf for newly developed gas. The 1978 reforms created a number of new incentive categories for ceiling prices that provided higher prices for newly developed gas, higher still if it was from formations or locations that were more expensive to drill and develop. These new incentive ceilings were in some cases nearly $10/mcf.</w:t>
      </w:r>
      <w:r>
        <w:rPr>
          <w:rStyle w:val="FootnoteCharacters"/>
          <w:rStyle w:val="FootnoteReference"/>
          <w:rFonts w:cs="Arial" w:ascii="Arial" w:hAnsi="Arial"/>
          <w:sz w:val="24"/>
        </w:rPr>
        <w:footnoteReference w:id="6"/>
      </w:r>
      <w:r>
        <w:rPr>
          <w:rFonts w:cs="Arial" w:ascii="Arial" w:hAnsi="Arial"/>
          <w:sz w:val="24"/>
        </w:rPr>
        <w:t xml:space="preserve"> The 1978 reforms also contained a plan for the gradual phase-out of certain ceiling prices beginning in 1985. </w:t>
      </w:r>
    </w:p>
    <w:p>
      <w:pPr>
        <w:pStyle w:val="Normal"/>
        <w:ind w:firstLine="720" w:end="0"/>
        <w:jc w:val="both"/>
        <w:rPr>
          <w:rFonts w:ascii="Arial" w:hAnsi="Arial" w:cs="Arial"/>
          <w:sz w:val="24"/>
        </w:rPr>
      </w:pPr>
      <w:r>
        <w:rPr>
          <w:rFonts w:cs="Arial" w:ascii="Arial" w:hAnsi="Arial"/>
          <w:sz w:val="24"/>
        </w:rPr>
      </w:r>
    </w:p>
    <w:p>
      <w:pPr>
        <w:pStyle w:val="BodyTextIndent"/>
        <w:ind w:hanging="0" w:end="0"/>
        <w:jc w:val="both"/>
        <w:rPr/>
      </w:pPr>
      <w:r>
        <w:rPr/>
        <w:t>Not surprisingly, producers responded vigorously to the increased incentives.  However, pipeline buyers responded vigorously as well.  They were under great pressure to avoid curtailments; forecasts pointed to even higher future prices; and, under the FERC regulatory scheme, gas cost was a passthrough.  Moreover, the way pipelines made money was to increase throughput and build more facilities to deliver it.  But, to increase throughput, they had to buy more supply. And, as long as FERC approved new higher-priced supply contracts, there was no downside; customers were truly captive to the pipelines.  With FERC approval, the passthrough of costs was all but assured.</w:t>
      </w:r>
      <w:r>
        <w:rPr>
          <w:rStyle w:val="FootnoteCharacters"/>
          <w:rStyle w:val="FootnoteReference"/>
        </w:rPr>
        <w:footnoteReference w:id="7"/>
      </w:r>
    </w:p>
    <w:p>
      <w:pPr>
        <w:pStyle w:val="Normal"/>
        <w:ind w:firstLine="720" w:end="0"/>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Over the next several years, the rapid growth of supply in the new incentive categories caused an ever-increasing portion of the country’s total gas supply to carry a steep price tag. Volumes of ‘new gas’ including the incentive priced gas increased from 28 percent of pipeline purchases in 1981 to 47 percent of pipeline purchases in 1985.</w:t>
      </w:r>
      <w:r>
        <w:rPr>
          <w:rStyle w:val="FootnoteCharacters"/>
          <w:rStyle w:val="FootnoteReference"/>
          <w:rFonts w:cs="Arial" w:ascii="Arial" w:hAnsi="Arial"/>
          <w:sz w:val="24"/>
        </w:rPr>
        <w:footnoteReference w:id="8"/>
      </w:r>
    </w:p>
    <w:p>
      <w:pPr>
        <w:pStyle w:val="Normal"/>
        <w:ind w:firstLine="720" w:end="0"/>
        <w:jc w:val="both"/>
        <w:rPr>
          <w:rFonts w:ascii="Arial" w:hAnsi="Arial" w:cs="Arial"/>
          <w:b/>
          <w:sz w:val="24"/>
        </w:rPr>
      </w:pPr>
      <w:r>
        <w:rPr>
          <w:rFonts w:cs="Arial" w:ascii="Arial" w:hAnsi="Arial"/>
          <w:b/>
          <w:sz w:val="24"/>
        </w:rPr>
      </w:r>
    </w:p>
    <w:p>
      <w:pPr>
        <w:pStyle w:val="BodyTextIndent"/>
        <w:ind w:hanging="0" w:end="0"/>
        <w:jc w:val="both"/>
        <w:rPr/>
      </w:pPr>
      <w:r>
        <w:rPr/>
        <w:t>At the same time, several other changes were occurring that spelled trouble for the market’s ability to absorb this new supply.  First, economic activity in this country slowed during the period among “rust-belt” manufacturing industries, traditionally big gas consumers.</w:t>
      </w:r>
      <w:r>
        <w:rPr>
          <w:rStyle w:val="FootnoteCharacters"/>
          <w:rStyle w:val="FootnoteReference"/>
        </w:rPr>
        <w:footnoteReference w:id="9"/>
      </w:r>
      <w:r>
        <w:rPr/>
        <w:t xml:space="preserve">  Second, conservation initiatives prompted by the high oil prices of the late 1970s and early 1980s began to affect energy demand.  Third, slowing world demand for oil and cheating among OPEC members combined to reduce real oil prices by 72 percent between 1981 and 1985.  (See  Figure 1) This decline in price was all the more striking considering the prevailing view in the late 1970s and early 1980s--when most of the new high-price gas contracts were signed--that by 1985 prices for oil would triple. Fourth and finally, most market participants underestimated the magnitude of the technological response to these incentives.  Producers found and developed much more gas than most forecasts had anticipated.</w:t>
      </w:r>
    </w:p>
    <w:p>
      <w:pPr>
        <w:pStyle w:val="Normal"/>
        <w:ind w:firstLine="720" w:end="0"/>
        <w:rPr>
          <w:rFonts w:ascii="Arial" w:hAnsi="Arial" w:cs="Arial"/>
          <w:sz w:val="24"/>
        </w:rPr>
      </w:pPr>
      <w:r>
        <w:rPr>
          <w:rFonts w:cs="Arial" w:ascii="Arial" w:hAnsi="Arial"/>
          <w:sz w:val="24"/>
        </w:rPr>
      </w:r>
    </w:p>
    <w:p>
      <w:pPr>
        <w:pStyle w:val="BodyText"/>
        <w:rPr/>
      </w:pPr>
      <w:r>
        <w:rPr/>
        <w:t xml:space="preserve">For all of these reasons, a surplus of gas began to develop by the mid-1980s.  The problem with the regulated wholesale gas business, unlike unregulated world oil markets, was that there was no market mechanism to correct pricing signals and the amount of supply flowing to the market.  In the late 1970s and early 1980s, producers had obtained long term contracts--often for higher-priced incentive categories of gas--that obligated pipelines to take, or at least pay, for any newly developed production from areas dedicated under those contracts.  LDCs were forced to buy gas from the pipelines at rates approved by the FERC--which included the cost of those incentive contracts.  Hence, once the producer responded to the incentive prices with more gas, there was no market mechanism standing between the wellhead and the end-user to discourage it.  It was simply a matter of regulatory passthrough. </w:t>
      </w:r>
    </w:p>
    <w:p>
      <w:pPr>
        <w:pStyle w:val="Normal"/>
        <w:ind w:firstLine="720" w:end="0"/>
        <w:rPr>
          <w:rFonts w:ascii="Arial" w:hAnsi="Arial" w:cs="Arial"/>
          <w:sz w:val="24"/>
        </w:rPr>
      </w:pPr>
      <w:r>
        <w:rPr>
          <w:rFonts w:cs="Arial" w:ascii="Arial" w:hAnsi="Arial"/>
          <w:sz w:val="24"/>
        </w:rPr>
      </w:r>
    </w:p>
    <w:p>
      <w:pPr>
        <w:pStyle w:val="BodyText"/>
        <w:rPr/>
      </w:pPr>
      <w:r>
        <w:rPr/>
        <w:t xml:space="preserve">Figure 1 highlights the sharp contrast that developed during the first half of the 1980s in the respective patterns of oil and gas prices.  While real oil prices were declining sharply, average prices for natural gas delivered by interstate pipelines remained relatively constant. </w:t>
      </w:r>
    </w:p>
    <w:p>
      <w:pPr>
        <w:pStyle w:val="Normal"/>
        <w:ind w:firstLine="720" w:end="0"/>
        <w:rPr>
          <w:rFonts w:ascii="Arial" w:hAnsi="Arial" w:cs="Arial"/>
          <w:sz w:val="24"/>
        </w:rPr>
      </w:pPr>
      <w:r>
        <w:rPr>
          <w:rFonts w:cs="Arial" w:ascii="Arial" w:hAnsi="Arial"/>
          <w:sz w:val="24"/>
        </w:rPr>
      </w:r>
    </w:p>
    <w:p>
      <w:pPr>
        <w:pStyle w:val="BodyText"/>
        <w:rPr/>
      </w:pPr>
      <w:r>
        <w:rPr/>
        <w:t xml:space="preserve">Of course, what should and did happen as prices failed to adjust to changing market conditions is that much of the market supply became surplus to a market demand level that was increasingly stifled by rising gas prices. Industrial customers started dropping interstate pipelines as suppliers.  Some of this occurred through fuel switching as industrial customers with dual-fuel capability switched to oil.  In other cases, industrial customers built new pipelines to attach themselves to unregulated gas sources with market-based prices, bypassing their interstate supplier. Finally, some industrial customers simply closed shop or moved, unable to overcome the market disadvantage created by uncompetitive energy costs. </w:t>
      </w:r>
    </w:p>
    <w:p>
      <w:pPr>
        <w:pStyle w:val="Normal"/>
        <w:ind w:firstLine="720" w:end="0"/>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As industrial customers dropped off their systems, interstate pipelines responded with special marketing programs designed to make discounted transportation-only capacity or low-cost spot market gas supplies available to them.  Those programs produced vigorous opposition from other customer groups concerned about apparent discrimination in the fact that they were not offered access to the same programs. Some of these protests led to well-publicized litigation highlighting the failure of the regulatory process to deliver prices comparable to those available day-to-day in the marketplace.</w:t>
      </w:r>
      <w:r>
        <w:rPr>
          <w:rStyle w:val="FootnoteCharacters"/>
          <w:rStyle w:val="FootnoteReference"/>
          <w:rFonts w:cs="Arial" w:ascii="Arial" w:hAnsi="Arial"/>
          <w:sz w:val="24"/>
        </w:rPr>
        <w:footnoteReference w:id="10"/>
      </w:r>
    </w:p>
    <w:p>
      <w:pPr>
        <w:pStyle w:val="Normal"/>
        <w:ind w:firstLine="720" w:end="0"/>
        <w:rPr>
          <w:rFonts w:ascii="Arial" w:hAnsi="Arial" w:cs="Arial"/>
          <w:sz w:val="24"/>
        </w:rPr>
      </w:pPr>
      <w:r>
        <w:rPr>
          <w:rFonts w:cs="Arial" w:ascii="Arial" w:hAnsi="Arial"/>
          <w:sz w:val="24"/>
        </w:rPr>
      </w:r>
    </w:p>
    <w:p>
      <w:pPr>
        <w:pStyle w:val="Normal"/>
        <w:jc w:val="both"/>
        <w:rPr/>
      </w:pPr>
      <w:r>
        <w:rPr>
          <w:rFonts w:cs="Arial" w:ascii="Arial" w:hAnsi="Arial"/>
          <w:sz w:val="24"/>
        </w:rPr>
        <w:t>In addition, one of the major interstate pipelines came close to declaring bankruptcy.  Columbia Gas was forced to request special rate relief associated with mounting gas supply contract obligations associated with volumes it could not take--because of its loss of customers--but had to pay for.</w:t>
      </w:r>
      <w:r>
        <w:rPr>
          <w:rStyle w:val="FootnoteCharacters"/>
          <w:rStyle w:val="FootnoteReference"/>
          <w:rFonts w:cs="Arial" w:ascii="Arial" w:hAnsi="Arial"/>
          <w:sz w:val="24"/>
        </w:rPr>
        <w:footnoteReference w:id="11"/>
      </w:r>
      <w:r>
        <w:rPr>
          <w:rFonts w:cs="Arial" w:ascii="Arial" w:hAnsi="Arial"/>
          <w:sz w:val="24"/>
        </w:rPr>
        <w:t xml:space="preserve">  For regulators charged with protecting the financial integrity of the pipelines they regulated, this was another public black eye.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Finally, as oil prices continued their downward slide through the 1980s, dropping below $10/bbl in 1986, it was abundantly clear that prices for gas service on interstate pipelines were way out of line with market conditions.  On a per mmbtu basis, gas delivered from an interstate pipeline in 1986 was more than 60 percent more expensive than the price per mmbtu for residual fuel oil.  The expanding surplus of gas made that differential increasingly difficult for regulators to explain.</w:t>
      </w:r>
    </w:p>
    <w:p>
      <w:pPr>
        <w:pStyle w:val="Normal"/>
        <w:rPr>
          <w:rFonts w:ascii="Arial" w:hAnsi="Arial" w:cs="Arial"/>
          <w:sz w:val="24"/>
        </w:rPr>
      </w:pPr>
      <w:r>
        <w:rPr>
          <w:rFonts w:cs="Arial" w:ascii="Arial" w:hAnsi="Arial"/>
          <w:sz w:val="24"/>
        </w:rPr>
      </w:r>
    </w:p>
    <w:p>
      <w:pPr>
        <w:pStyle w:val="Heading1"/>
        <w:ind w:hanging="0" w:start="0"/>
        <w:rPr/>
      </w:pPr>
      <w:r>
        <w:rPr/>
        <w:t>Early FERC Orders--Allow the Market to Fix the Problem</w:t>
      </w:r>
    </w:p>
    <w:p>
      <w:pPr>
        <w:pStyle w:val="Normal"/>
        <w:rPr>
          <w:rFonts w:ascii="Arial" w:hAnsi="Arial" w:cs="Arial"/>
          <w:b/>
          <w:sz w:val="24"/>
        </w:rPr>
      </w:pPr>
      <w:r>
        <w:rPr>
          <w:rFonts w:cs="Arial" w:ascii="Arial" w:hAnsi="Arial"/>
          <w:b/>
          <w:sz w:val="24"/>
        </w:rPr>
      </w:r>
    </w:p>
    <w:p>
      <w:pPr>
        <w:pStyle w:val="BodyTextIndent"/>
        <w:ind w:hanging="0" w:end="0"/>
        <w:jc w:val="both"/>
        <w:rPr/>
      </w:pPr>
      <w:r>
        <w:rPr/>
        <w:t>The nature of the regulatory problem was clear.  Temporary gas shortages and the regulatory promise to allow recovery of prudently incurred costs had turned the incentive prices created by the NGPA into an avalanche of long-term production and development commitments.  Prices for these supplies were limited only by the maximum ceiling price the market would allow. Moreover, given the regulatory system of cost passthrough, there was little to prevent those high costs from flowing straight to the burner tip irrespective of market conditions. All buyers could do was “just say no”, piling up dollars associated with undelivered gas in the deferred gas purchase accounts of the pipelines.  Even to the point of potential bankruptcy, pipelines showed little ability to reduce supply costs or their resale rates.</w:t>
      </w:r>
    </w:p>
    <w:p>
      <w:pPr>
        <w:pStyle w:val="Normal"/>
        <w:ind w:firstLine="720" w:end="0"/>
        <w:rPr>
          <w:rFonts w:ascii="Arial" w:hAnsi="Arial" w:cs="Arial"/>
          <w:sz w:val="24"/>
        </w:rPr>
      </w:pPr>
      <w:r>
        <w:rPr>
          <w:rFonts w:cs="Arial" w:ascii="Arial" w:hAnsi="Arial"/>
          <w:sz w:val="24"/>
        </w:rPr>
      </w:r>
    </w:p>
    <w:p>
      <w:pPr>
        <w:pStyle w:val="Normal"/>
        <w:numPr>
          <w:ilvl w:val="0"/>
          <w:numId w:val="2"/>
        </w:numPr>
        <w:tabs>
          <w:tab w:val="clear" w:pos="720"/>
          <w:tab w:val="left" w:pos="2160" w:leader="none"/>
        </w:tabs>
        <w:ind w:hanging="720" w:start="2160" w:end="0"/>
        <w:rPr>
          <w:rFonts w:ascii="Arial" w:hAnsi="Arial" w:cs="Arial"/>
          <w:i/>
          <w:i/>
          <w:sz w:val="24"/>
        </w:rPr>
      </w:pPr>
      <w:r>
        <w:rPr>
          <w:rFonts w:cs="Arial" w:ascii="Arial" w:hAnsi="Arial"/>
          <w:i/>
          <w:sz w:val="24"/>
        </w:rPr>
        <w:t>Order 380</w:t>
      </w:r>
    </w:p>
    <w:p>
      <w:pPr>
        <w:pStyle w:val="Normal"/>
        <w:rPr>
          <w:rFonts w:ascii="Arial" w:hAnsi="Arial" w:cs="Arial"/>
          <w:i/>
          <w:i/>
          <w:sz w:val="24"/>
        </w:rPr>
      </w:pPr>
      <w:r>
        <w:rPr>
          <w:rFonts w:cs="Arial" w:ascii="Arial" w:hAnsi="Arial"/>
          <w:i/>
          <w:sz w:val="24"/>
        </w:rPr>
      </w:r>
    </w:p>
    <w:p>
      <w:pPr>
        <w:pStyle w:val="BodyTextIndent"/>
        <w:ind w:hanging="0" w:end="0"/>
        <w:jc w:val="both"/>
        <w:rPr>
          <w:b/>
        </w:rPr>
      </w:pPr>
      <w:r>
        <w:rPr/>
        <w:t xml:space="preserve">FERC saw an opportunity to enlist the market’s help in solving the problem in 1984.  Some industrial customers that were dropping off the regulated gas system were LDC customers.  This caused takes by the LDCs from their interstate suppliers to go down, putting some LDCs in the position where the “minimum annual bill” provisions in their service agreements kicked in.  At the same time, some pipelines responded to their loss of customers by cutting takes from their upstream pipeline suppliers. Those cuts also served, in some circumstances, to trigger minimum bill obligations. The customers affected by these provisions went to FERC for relief. </w:t>
      </w:r>
    </w:p>
    <w:p>
      <w:pPr>
        <w:pStyle w:val="Normal"/>
        <w:ind w:firstLine="720" w:end="0"/>
        <w:jc w:val="both"/>
        <w:rPr>
          <w:rFonts w:ascii="Arial" w:hAnsi="Arial" w:cs="Arial"/>
          <w:b/>
          <w:sz w:val="24"/>
        </w:rPr>
      </w:pPr>
      <w:r>
        <w:rPr>
          <w:rFonts w:cs="Arial" w:ascii="Arial" w:hAnsi="Arial"/>
          <w:b/>
          <w:sz w:val="24"/>
        </w:rPr>
      </w:r>
    </w:p>
    <w:p>
      <w:pPr>
        <w:pStyle w:val="Normal"/>
        <w:jc w:val="both"/>
        <w:rPr/>
      </w:pPr>
      <w:r>
        <w:rPr>
          <w:rFonts w:cs="Arial" w:ascii="Arial" w:hAnsi="Arial"/>
          <w:sz w:val="24"/>
        </w:rPr>
        <w:t>FERC came to the conclusion that minimum bill provisions prevented end-use market signals from exerting downward pressure on upstream gas contracts.</w:t>
      </w:r>
      <w:r>
        <w:rPr>
          <w:rStyle w:val="FootnoteCharacters"/>
          <w:rStyle w:val="FootnoteReference"/>
          <w:rFonts w:cs="Arial" w:ascii="Arial" w:hAnsi="Arial"/>
          <w:sz w:val="24"/>
        </w:rPr>
        <w:footnoteReference w:id="12"/>
      </w:r>
      <w:r>
        <w:rPr>
          <w:rFonts w:cs="Arial" w:ascii="Arial" w:hAnsi="Arial"/>
          <w:sz w:val="24"/>
        </w:rPr>
        <w:t xml:space="preserve"> Accordingly, FERC issued Order 380 banning minimum bill provisions as anticompetitive and unreasonable.  </w:t>
      </w:r>
    </w:p>
    <w:p>
      <w:pPr>
        <w:pStyle w:val="Normal"/>
        <w:ind w:firstLine="720" w:end="0"/>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The logic behind Order 380 sheds important insight on the FERC’s evaluation of potential strategies.  One possibility would have been to invalidate the problem contracts.  Assuming they faced potential legal challenges in doing so, they could instead have declared high-priced contracts unreasonable and imprudent.  That, they clearly had authority to do.  And, while the only direct affect of such a finding would have been to prevent the passthrough of costs under those contracts to customers, many contracts contained provisions that relieved pipelines of their purchase obligations if FERC found the contracts themselves to be imprudent.  </w:t>
      </w:r>
    </w:p>
    <w:p>
      <w:pPr>
        <w:pStyle w:val="Normal"/>
        <w:ind w:firstLine="720" w:end="0"/>
        <w:rPr>
          <w:rFonts w:ascii="Arial" w:hAnsi="Arial" w:cs="Arial"/>
          <w:sz w:val="24"/>
        </w:rPr>
      </w:pPr>
      <w:r>
        <w:rPr>
          <w:rFonts w:cs="Arial" w:ascii="Arial" w:hAnsi="Arial"/>
          <w:sz w:val="24"/>
        </w:rPr>
      </w:r>
    </w:p>
    <w:p>
      <w:pPr>
        <w:pStyle w:val="BodyTextIndent2"/>
        <w:ind w:hanging="0" w:end="0"/>
        <w:rPr/>
      </w:pPr>
      <w:r>
        <w:rPr/>
        <w:t xml:space="preserve">History shows us that FERC was unwilling to take that step.  One can only suppose that FERC’s role in creating incentive prices and encouraging pipelines to seize the opportunity to increase their contracted reserves, gave them pause in declaring the fruits of that effort imprudent.  </w:t>
      </w:r>
    </w:p>
    <w:p>
      <w:pPr>
        <w:pStyle w:val="Normal"/>
        <w:ind w:firstLine="720" w:end="0"/>
        <w:rPr>
          <w:rFonts w:ascii="Arial" w:hAnsi="Arial" w:cs="Arial"/>
          <w:sz w:val="24"/>
        </w:rPr>
      </w:pPr>
      <w:r>
        <w:rPr>
          <w:rFonts w:cs="Arial" w:ascii="Arial" w:hAnsi="Arial"/>
          <w:sz w:val="24"/>
        </w:rPr>
      </w:r>
    </w:p>
    <w:p>
      <w:pPr>
        <w:pStyle w:val="BodyTextIndent2"/>
        <w:ind w:hanging="0" w:end="0"/>
        <w:rPr/>
      </w:pPr>
      <w:r>
        <w:rPr/>
        <w:t xml:space="preserve">Instead, FERC apparently believed that by freeing pipelines’ customers from their contractual purchase obligation, the resulting loss of market would force pipelines to reform--by negotiation, buy-out, buy-down or litigation--their high-priced supply contracts.  Although noteworthy in connection with Order 380 itself, this logic is even more important in understanding what follows.  At each step in the process, FERC would return to this same basic approach--instead of dealing with the problem by addressing the problem contracts directly,  create market pressure sufficient to force pipelines to solve the problem. Subsequent steps in the process can best be understood as evolving strategies for this same purpose. </w:t>
      </w:r>
    </w:p>
    <w:p>
      <w:pPr>
        <w:pStyle w:val="Normal"/>
        <w:ind w:firstLine="720" w:end="0"/>
        <w:rPr>
          <w:rFonts w:ascii="Arial" w:hAnsi="Arial" w:cs="Arial"/>
          <w:sz w:val="24"/>
        </w:rPr>
      </w:pPr>
      <w:r>
        <w:rPr>
          <w:rFonts w:cs="Arial" w:ascii="Arial" w:hAnsi="Arial"/>
          <w:sz w:val="24"/>
        </w:rPr>
      </w:r>
    </w:p>
    <w:p>
      <w:pPr>
        <w:pStyle w:val="BodyText"/>
        <w:rPr/>
      </w:pPr>
      <w:r>
        <w:rPr/>
        <w:t>In theory, Order 380 gave LDCs (and other pipeline customers previously bound by minimum bill provisions, free reign to reject over-priced supplies. In practice, there were other obstacles that stood in the way of any meaningful changes in gas buying decisions.  First and foremost was the customers’ need for transportation to bring alternative market-priced supply to their facilities. Because of pipelines’ natural monopoly characteristics, many LDCs had limited transportation choices. And, of course, pipelines were understandably reluctant to offer LDCs new transportation services for spot gas that would strand the expensive supply the pipeline had already committed to buy on their behalf.</w:t>
      </w:r>
    </w:p>
    <w:p>
      <w:pPr>
        <w:pStyle w:val="Normal"/>
        <w:ind w:firstLine="720" w:end="0"/>
        <w:rPr>
          <w:rFonts w:ascii="Arial" w:hAnsi="Arial" w:cs="Arial"/>
          <w:sz w:val="24"/>
        </w:rPr>
      </w:pPr>
      <w:r>
        <w:rPr>
          <w:rFonts w:cs="Arial" w:ascii="Arial" w:hAnsi="Arial"/>
          <w:sz w:val="24"/>
        </w:rPr>
      </w:r>
    </w:p>
    <w:p>
      <w:pPr>
        <w:pStyle w:val="BodyTextIndent"/>
        <w:ind w:hanging="0" w:end="0"/>
        <w:jc w:val="both"/>
        <w:rPr/>
      </w:pPr>
      <w:r>
        <w:rPr/>
        <w:t xml:space="preserve">Second, FERC rules required hearings to assess the public necessity for new transportation agreements.  Even where LDCs did have alternative transportation suppliers with spare capacity, they recognized the difficulty posed by a hearing in which their traditional supplier--whose financial integrity FERC had every reason to protect--would loudly proclaim readiness, indeed eagerness, to serve.  Even under the best circumstances, these hearings took considerable time and effort.  </w:t>
      </w:r>
    </w:p>
    <w:p>
      <w:pPr>
        <w:pStyle w:val="Normal"/>
        <w:ind w:firstLine="720" w:end="0"/>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The alternative was short-term interruptible transportation.  LDCs could use interruptible transportation service to bring low-cost spot gas supplies to their customers outside of heating and storage injection seasons.  However, no LDC could risk relying upon interruptible transportation at peak times, potentially having to curtail its customers.  Hence, the opportunity to utilize the contractual freedom created by Order 380 turned out to be limited in practice.  The pressure on pipelines to reform prices therefore didn’t increase very much and the problem continued.</w:t>
      </w:r>
    </w:p>
    <w:p>
      <w:pPr>
        <w:pStyle w:val="Normal"/>
        <w:ind w:firstLine="720" w:end="0"/>
        <w:rPr>
          <w:rFonts w:ascii="Arial" w:hAnsi="Arial" w:cs="Arial"/>
          <w:sz w:val="24"/>
        </w:rPr>
      </w:pPr>
      <w:r>
        <w:rPr>
          <w:rFonts w:cs="Arial" w:ascii="Arial" w:hAnsi="Arial"/>
          <w:sz w:val="24"/>
        </w:rPr>
      </w:r>
    </w:p>
    <w:p>
      <w:pPr>
        <w:pStyle w:val="Normal"/>
        <w:numPr>
          <w:ilvl w:val="0"/>
          <w:numId w:val="2"/>
        </w:numPr>
        <w:tabs>
          <w:tab w:val="clear" w:pos="720"/>
          <w:tab w:val="left" w:pos="2160" w:leader="none"/>
        </w:tabs>
        <w:ind w:hanging="720" w:start="2160" w:end="0"/>
        <w:rPr>
          <w:rFonts w:ascii="Arial" w:hAnsi="Arial" w:cs="Arial"/>
          <w:i/>
          <w:i/>
          <w:sz w:val="24"/>
        </w:rPr>
      </w:pPr>
      <w:r>
        <w:rPr>
          <w:rFonts w:cs="Arial" w:ascii="Arial" w:hAnsi="Arial"/>
          <w:i/>
          <w:sz w:val="24"/>
        </w:rPr>
        <w:t>Order 436</w:t>
      </w:r>
    </w:p>
    <w:p>
      <w:pPr>
        <w:pStyle w:val="Normal"/>
        <w:rPr>
          <w:rFonts w:ascii="Arial" w:hAnsi="Arial" w:cs="Arial"/>
          <w:i/>
          <w:i/>
          <w:sz w:val="24"/>
        </w:rPr>
      </w:pPr>
      <w:r>
        <w:rPr>
          <w:rFonts w:cs="Arial" w:ascii="Arial" w:hAnsi="Arial"/>
          <w:i/>
          <w:sz w:val="24"/>
        </w:rPr>
      </w:r>
    </w:p>
    <w:p>
      <w:pPr>
        <w:pStyle w:val="BodyTextIndent"/>
        <w:ind w:hanging="0" w:end="0"/>
        <w:jc w:val="both"/>
        <w:rPr/>
      </w:pPr>
      <w:r>
        <w:rPr/>
        <w:t>Order 380, combined with the ever-worsening surplus of natural gas and the widening gap between wholesale service rates and market values, created a torrent of applications at the FERC for short-term transportation contracts. Many of these applications came under an existing special rule that allowed pipelines to offer discounted transportation service on behalf of an LDC customer who needed that service to retain industrial customers.</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sz w:val="24"/>
        </w:rPr>
        <w:t>In 1986, FERC issued Order 436</w:t>
      </w:r>
      <w:r>
        <w:rPr>
          <w:rStyle w:val="FootnoteCharacters"/>
          <w:rStyle w:val="FootnoteReference"/>
          <w:rFonts w:cs="Arial" w:ascii="Arial" w:hAnsi="Arial"/>
          <w:sz w:val="24"/>
        </w:rPr>
        <w:footnoteReference w:id="13"/>
      </w:r>
      <w:r>
        <w:rPr>
          <w:rFonts w:cs="Arial" w:ascii="Arial" w:hAnsi="Arial"/>
          <w:sz w:val="24"/>
        </w:rPr>
        <w:t xml:space="preserve">, which became known as the open access rule.  Technically, FERC broadened the application of the pre-existing special rule and--assuming the pipeline was prepared to offer discounted transportation service on a non-discriminatory fashion--removed the requirement for prior FERC approval. In essence, by declaring itself to be “open access”, a pipeline could self-activate discounted service for any customer. </w:t>
      </w:r>
    </w:p>
    <w:p>
      <w:pPr>
        <w:pStyle w:val="Normal"/>
        <w:jc w:val="both"/>
        <w:rPr>
          <w:rFonts w:ascii="Arial" w:hAnsi="Arial" w:cs="Arial"/>
          <w:sz w:val="24"/>
        </w:rPr>
      </w:pPr>
      <w:r>
        <w:rPr>
          <w:rFonts w:cs="Arial" w:ascii="Arial" w:hAnsi="Arial"/>
          <w:sz w:val="24"/>
        </w:rPr>
      </w:r>
    </w:p>
    <w:p>
      <w:pPr>
        <w:pStyle w:val="BodyTextIndent"/>
        <w:ind w:hanging="0" w:end="0"/>
        <w:jc w:val="both"/>
        <w:rPr/>
      </w:pPr>
      <w:r>
        <w:rPr/>
        <w:t xml:space="preserve">FERC put various types of pressure on pipelines to adopt open access, including informal staff communication indicating that other pipeline initiatives would be viewed more favorably from the perspective of an “open access” applicant. Within a year following the Order, most interstate pipelines declared themselves to be open access.  This triggered a vicious cycle: 1) customers sought open access discounted transportation to move cheap spot supplies; 2) that movement displaced pipelines’ contract gas; 3) the resulting decline in takes of contract gas on the part of pipelines caused producers to offer more volume in the spot market; 4) increased spot volume lowered the price, increasing the incentive to use spot supplies; which, 5) caused more customers to seek discounted transportation, etc., etc.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By 1987, spot prices for gas averaged $1.37/mmbtu.</w:t>
      </w:r>
      <w:r>
        <w:rPr>
          <w:rStyle w:val="FootnoteCharacters"/>
          <w:rStyle w:val="FootnoteReference"/>
          <w:rFonts w:cs="Arial" w:ascii="Arial" w:hAnsi="Arial"/>
          <w:sz w:val="24"/>
        </w:rPr>
        <w:footnoteReference w:id="14"/>
      </w:r>
      <w:r>
        <w:rPr>
          <w:rFonts w:cs="Arial" w:ascii="Arial" w:hAnsi="Arial"/>
          <w:sz w:val="24"/>
        </w:rPr>
        <w:t xml:space="preserve">  At that time, the weighted-average-cost of gas purchased by pipelines (WACOG) was $2.30/mmbtu.</w:t>
      </w:r>
      <w:r>
        <w:rPr>
          <w:rStyle w:val="FootnoteCharacters"/>
          <w:rStyle w:val="FootnoteReference"/>
          <w:rFonts w:cs="Arial" w:ascii="Arial" w:hAnsi="Arial"/>
          <w:sz w:val="24"/>
        </w:rPr>
        <w:footnoteReference w:id="15"/>
      </w:r>
      <w:r>
        <w:rPr>
          <w:rFonts w:cs="Arial" w:ascii="Arial" w:hAnsi="Arial"/>
          <w:sz w:val="24"/>
        </w:rPr>
        <w:t xml:space="preserve"> The volume of gas sales by interstate pipelines had fallen by 51 percent compared with 1984, even though the market overall had increased 5 percent. </w:t>
      </w:r>
      <w:r>
        <w:rPr>
          <w:rStyle w:val="FootnoteCharacters"/>
          <w:rStyle w:val="FootnoteReference"/>
          <w:rFonts w:cs="Arial" w:ascii="Arial" w:hAnsi="Arial"/>
          <w:sz w:val="24"/>
        </w:rPr>
        <w:footnoteReference w:id="16"/>
      </w:r>
      <w:r>
        <w:rPr>
          <w:rFonts w:cs="Arial" w:ascii="Arial" w:hAnsi="Arial"/>
          <w:sz w:val="24"/>
        </w:rPr>
        <w:t xml:space="preserve">  And, pipelines’ accumulated liability to producers for gas under contract that wasn’t taken had climbed into the billions.  Through the combination of Order 380 and Order 436, FERC had stranded over10 billion dollars of gas supply contract obligations by 1987.</w:t>
      </w:r>
      <w:r>
        <w:rPr>
          <w:rStyle w:val="FootnoteCharacters"/>
          <w:rStyle w:val="FootnoteReference"/>
          <w:rFonts w:cs="Arial" w:ascii="Arial" w:hAnsi="Arial"/>
          <w:sz w:val="24"/>
        </w:rPr>
        <w:footnoteReference w:id="17"/>
      </w:r>
    </w:p>
    <w:p>
      <w:pPr>
        <w:pStyle w:val="Normal"/>
        <w:ind w:firstLine="720" w:end="0"/>
        <w:rPr>
          <w:rFonts w:ascii="Arial" w:hAnsi="Arial" w:cs="Arial"/>
          <w:sz w:val="24"/>
        </w:rPr>
      </w:pPr>
      <w:r>
        <w:rPr>
          <w:rFonts w:cs="Arial" w:ascii="Arial" w:hAnsi="Arial"/>
          <w:sz w:val="24"/>
        </w:rPr>
      </w:r>
    </w:p>
    <w:p>
      <w:pPr>
        <w:pStyle w:val="Heading1"/>
        <w:ind w:hanging="0" w:start="0"/>
        <w:rPr/>
      </w:pPr>
      <w:r>
        <w:rPr/>
        <w:t>Forcing Participants to Absorb Stranded Costs</w:t>
      </w:r>
    </w:p>
    <w:p>
      <w:pPr>
        <w:pStyle w:val="Normal"/>
        <w:rPr>
          <w:rFonts w:ascii="Arial" w:hAnsi="Arial" w:cs="Arial"/>
          <w:sz w:val="24"/>
        </w:rPr>
      </w:pPr>
      <w:r>
        <w:rPr>
          <w:rFonts w:cs="Arial" w:ascii="Arial" w:hAnsi="Arial"/>
          <w:sz w:val="24"/>
        </w:rPr>
      </w:r>
    </w:p>
    <w:p>
      <w:pPr>
        <w:pStyle w:val="BodyTextIndent"/>
        <w:ind w:hanging="0" w:end="0"/>
        <w:jc w:val="both"/>
        <w:rPr/>
      </w:pPr>
      <w:r>
        <w:rPr/>
        <w:t xml:space="preserve">As the mountain of contract liabilities continued to grow, uncertainty mounted at the gas pipelines regarding the likely recoverability of payments made to reduce those obligations.  Pipelines bought gas under contracts that had take-or-pay provisions.  In essence, pipelines were supposed to pay for contractually specified minimum volumes each year whether or not they actually took that full volume.  </w:t>
      </w:r>
    </w:p>
    <w:p>
      <w:pPr>
        <w:pStyle w:val="BodyTextIndent"/>
        <w:ind w:hanging="0" w:end="0"/>
        <w:jc w:val="both"/>
        <w:rPr/>
      </w:pPr>
      <w:r>
        <w:rPr/>
      </w:r>
    </w:p>
    <w:p>
      <w:pPr>
        <w:pStyle w:val="BodyTextIndent"/>
        <w:ind w:hanging="0" w:end="0"/>
        <w:jc w:val="both"/>
        <w:rPr/>
      </w:pPr>
      <w:r>
        <w:rPr/>
        <w:t xml:space="preserve">The payment for gas in excess of the amount taken was often referred to in the industry as a gas prepayment. This is because, in most cases, the pipeline had the right to make up any payments made or volumes they didn’t take by over-lifting relative to their contract quantities over a contractually determined makeup period, often five years. Often the amount that could be made up in any year was limited by contract to the difference between the contract volume and the maximum sustainable production of the wells covered by the contract.  Because contract quantities were usually set close to maximum production levels, practically speaking, the best one could expect in any year was to make up a volume in the neighborhood of 10 percent (or less) of the contract quantity.  </w:t>
      </w:r>
    </w:p>
    <w:p>
      <w:pPr>
        <w:pStyle w:val="BodyTextIndent"/>
        <w:ind w:hanging="0" w:end="0"/>
        <w:jc w:val="both"/>
        <w:rPr/>
      </w:pPr>
      <w:r>
        <w:rPr/>
      </w:r>
    </w:p>
    <w:p>
      <w:pPr>
        <w:pStyle w:val="BodyTextIndent"/>
        <w:ind w:hanging="0" w:end="0"/>
        <w:jc w:val="both"/>
        <w:rPr/>
      </w:pPr>
      <w:r>
        <w:rPr/>
        <w:t xml:space="preserve">Assuming the volumes were made up, the prepayment dollars would then be recovered by the pipeline through resale revenues they generated.  If the pipeline was unable to makeup the volume, the unrecovered gas payment would then become eligible for inclusion in rates as an additional cost of service on the part of the pipeline.  The issue here is that FERC approval was necessary to do so. And, there was genuine concern in the industry--given FERC’s frequent comments that pipelines should heed market signals in agreeing to supply contracts--that FERC would not approve the inclusion of unrecovered prepayments from older high-priced contracts in the already inflated resale rates.     </w:t>
      </w:r>
    </w:p>
    <w:p>
      <w:pPr>
        <w:pStyle w:val="BodyTextIndent"/>
        <w:ind w:hanging="0" w:end="0"/>
        <w:jc w:val="both"/>
        <w:rPr/>
      </w:pPr>
      <w:r>
        <w:rPr/>
      </w:r>
    </w:p>
    <w:p>
      <w:pPr>
        <w:pStyle w:val="BodyTextIndent"/>
        <w:ind w:hanging="0" w:end="0"/>
        <w:jc w:val="both"/>
        <w:rPr/>
      </w:pPr>
      <w:r>
        <w:rPr/>
        <w:t>In the first half of the 1980s, Columbia made hundreds of millions of dollars in gas prepayments.  FERC refused to make a blanket finding that those costs would be recoverable, indicating instead that a contract-by-contract review of Columbia’s prudence would be needed first.</w:t>
      </w:r>
      <w:r>
        <w:rPr>
          <w:rStyle w:val="FootnoteCharacters"/>
          <w:rStyle w:val="FootnoteReference"/>
        </w:rPr>
        <w:footnoteReference w:id="18"/>
      </w:r>
      <w:r>
        <w:rPr/>
        <w:t xml:space="preserve">  That finding caused much of Columbia’s external sources of financing to disappear, taking the company to the brink of bankruptcy.  A customer settlement agreement, under which they agreed to accept a rate surcharge, temporarily averted bankruptcy.</w:t>
      </w:r>
      <w:r>
        <w:rPr>
          <w:rStyle w:val="FootnoteCharacters"/>
          <w:rStyle w:val="FootnoteReference"/>
        </w:rPr>
        <w:footnoteReference w:id="19"/>
      </w:r>
      <w:r>
        <w:rPr/>
        <w:t xml:space="preserve">  </w:t>
      </w:r>
    </w:p>
    <w:p>
      <w:pPr>
        <w:pStyle w:val="BodyTextIndent"/>
        <w:ind w:hanging="0" w:end="0"/>
        <w:jc w:val="both"/>
        <w:rPr/>
      </w:pPr>
      <w:r>
        <w:rPr/>
      </w:r>
    </w:p>
    <w:p>
      <w:pPr>
        <w:pStyle w:val="BodyTextIndent"/>
        <w:ind w:hanging="0" w:end="0"/>
        <w:jc w:val="both"/>
        <w:rPr/>
      </w:pPr>
      <w:r>
        <w:rPr/>
        <w:t>However, Columbia’s situation was the proverbial “shot off the bow” for the remaining pipelines.  Pipelines believed they could not count on the recovery of gas prepayments.  They also recognized that if you went ahead and made those pre-payments, they would be at risk for any recovery.  Indeed, as FERC’s rhetoric about the problems associated with over-priced supplies escalated through the mid-1980s, the path of gas prepayments increasingly appeared to be a path to bankruptcy.</w:t>
      </w:r>
    </w:p>
    <w:p>
      <w:pPr>
        <w:pStyle w:val="BodyTextIndent"/>
        <w:ind w:hanging="0" w:end="0"/>
        <w:jc w:val="both"/>
        <w:rPr/>
      </w:pPr>
      <w:r>
        <w:rPr/>
      </w:r>
    </w:p>
    <w:p>
      <w:pPr>
        <w:pStyle w:val="BodyTextIndent"/>
        <w:ind w:hanging="0" w:end="0"/>
        <w:jc w:val="both"/>
        <w:rPr/>
      </w:pPr>
      <w:r>
        <w:rPr/>
        <w:t xml:space="preserve">Consequently, as contract supply markets became spot supplies using Order 436-based transportation, pipelines simply stopped taking and stopped paying for gas. Massive litigation developed between pipelines and their producer suppliers.  Pipelines claimed force majeure, commercial impracticability, frustration of purpose and numerous other defenses based on the particulars of individual contracts.  Producers had a relatively simple legal position--a deal is a deal. </w:t>
      </w:r>
    </w:p>
    <w:p>
      <w:pPr>
        <w:pStyle w:val="BodyTextIndent"/>
        <w:ind w:hanging="0" w:end="0"/>
        <w:jc w:val="both"/>
        <w:rPr/>
      </w:pPr>
      <w:r>
        <w:rPr/>
      </w:r>
    </w:p>
    <w:p>
      <w:pPr>
        <w:pStyle w:val="BodyTextIndent"/>
        <w:ind w:hanging="0" w:end="0"/>
        <w:jc w:val="both"/>
        <w:rPr/>
      </w:pPr>
      <w:r>
        <w:rPr/>
        <w:t xml:space="preserve">However, the legal process was time consuming, expensive and uncertain in its outcome. In the meantime, producers--many of whom were small independent companies already feeling the pinch from lower energy prices generally--were getting little or no cash flow. Pipelines let producers know that those who were willing to work with them--e.g. write off some of their contract entitlement and amend contract prices to reflect market levels--would get some payment against past obligations and guaranteed takes as part of the supply portfolio needed for their remaining market needs.  Many producers could not afford to say no.  </w:t>
      </w:r>
    </w:p>
    <w:p>
      <w:pPr>
        <w:pStyle w:val="BodyTextIndent"/>
        <w:ind w:hanging="0" w:end="0"/>
        <w:jc w:val="both"/>
        <w:rPr/>
      </w:pPr>
      <w:r>
        <w:rPr/>
      </w:r>
    </w:p>
    <w:p>
      <w:pPr>
        <w:pStyle w:val="BodyTextIndent"/>
        <w:ind w:hanging="0" w:end="0"/>
        <w:jc w:val="both"/>
        <w:rPr/>
      </w:pPr>
      <w:r>
        <w:rPr/>
        <w:t>As a result, during the second half of the 1980s producers and pipelines negotiated with each other to absorb stranded contract obligations.  Pipeline shareholders paid for some of that stranded cost through contract settlements and producer shareholders absorbed the rest through write-offs of what was left.  As this happened, much of the cost that had been stranded by FERC’s initiatives to open customer access to cheaper spot supplies disappeared without any surcharge or compensation from customers.  In a very real sense, consumers’ gas prices went down because producers and pipelines together paid them down.</w:t>
      </w:r>
    </w:p>
    <w:p>
      <w:pPr>
        <w:pStyle w:val="BodyTextIndent"/>
        <w:ind w:hanging="0" w:end="0"/>
        <w:jc w:val="both"/>
        <w:rPr/>
      </w:pPr>
      <w:r>
        <w:rPr/>
      </w:r>
    </w:p>
    <w:p>
      <w:pPr>
        <w:pStyle w:val="BodyTextIndent"/>
        <w:ind w:hanging="0" w:end="0"/>
        <w:jc w:val="both"/>
        <w:rPr/>
      </w:pPr>
      <w:r>
        <w:rPr/>
        <w:t xml:space="preserve">As the flow of spot supplies increased on interstate pipelines, FERC began to focus on ensuring fair and level competition among spot sellers. In this regard, one issue that developed during the mid-1980s was the increasing emergence of unregulated pipeline affiliates formed to market spot gas supplies.  While from one perspective this behavior might be seen as self-defeating--in effect, creating one more avenue through which pipelines’ traditional wholesale business was cannibalized--viewed more broadly, spot gas marketing made perfect sense.  </w:t>
      </w:r>
    </w:p>
    <w:p>
      <w:pPr>
        <w:pStyle w:val="BodyTextIndent"/>
        <w:ind w:hanging="0" w:end="0"/>
        <w:jc w:val="both"/>
        <w:rPr/>
      </w:pPr>
      <w:r>
        <w:rPr/>
      </w:r>
    </w:p>
    <w:p>
      <w:pPr>
        <w:pStyle w:val="BodyTextIndent"/>
        <w:ind w:hanging="0" w:end="0"/>
        <w:jc w:val="both"/>
        <w:rPr/>
      </w:pPr>
      <w:r>
        <w:rPr/>
        <w:t>Under FERC rules, the pipelines were forced to price the gas provided through their traditional regulated wholesale service at its average cost. Even had they wanted to, pipelines were not permitted to discount supply in order to maintain market position in competition with spot sellers. Hence, as long as high-priced incentive contracts continued to represent a significant portion of the pipelines’ supply portfolio, they could not compete with spot sellers.  FERC’s hope was that the need to stay competitive would force pipelines to reform their past contract obligations. Unfortunately, the financial pill was too large to swallow in its entirety. It would have bankrupted most pipelines.</w:t>
      </w:r>
    </w:p>
    <w:p>
      <w:pPr>
        <w:pStyle w:val="BodyTextIndent"/>
        <w:ind w:hanging="0" w:end="0"/>
        <w:jc w:val="both"/>
        <w:rPr/>
      </w:pPr>
      <w:r>
        <w:rPr/>
      </w:r>
    </w:p>
    <w:p>
      <w:pPr>
        <w:pStyle w:val="BodyTextIndent"/>
        <w:ind w:hanging="0" w:end="0"/>
        <w:jc w:val="both"/>
        <w:rPr/>
      </w:pPr>
      <w:r>
        <w:rPr/>
        <w:t xml:space="preserve">Therefore, as FERC continued to change the rules, expanding access to spot supplies, pipelines were steadily being forced out of the merchant business by the competitive disadvantage of their existing supply portfolios.  Gas marketing affiliates provided a means to stay in the game, setting prices for wholesale supplies free of the regulatory rules that governed the parent’s merchant activities. </w:t>
      </w:r>
    </w:p>
    <w:p>
      <w:pPr>
        <w:pStyle w:val="BodyTextIndent"/>
        <w:ind w:hanging="0" w:end="0"/>
        <w:jc w:val="both"/>
        <w:rPr/>
      </w:pPr>
      <w:r>
        <w:rPr/>
      </w:r>
    </w:p>
    <w:p>
      <w:pPr>
        <w:pStyle w:val="BodyTextIndent"/>
        <w:ind w:hanging="0" w:end="0"/>
        <w:jc w:val="both"/>
        <w:rPr/>
      </w:pPr>
      <w:r>
        <w:rPr/>
        <w:t>One complaint raised at FERC was that pipelines were using their control of transportation and storage facilities to promote their own efforts to market spot gas and competitively disadvantage other spot sellers.  This led to Order 497.</w:t>
      </w:r>
      <w:r>
        <w:rPr>
          <w:rStyle w:val="FootnoteCharacters"/>
          <w:rStyle w:val="FootnoteReference"/>
        </w:rPr>
        <w:footnoteReference w:id="20"/>
      </w:r>
      <w:r>
        <w:rPr/>
        <w:t xml:space="preserve">  Order 497 had numerous provisions requiring the separation of gas marketing from the transmission and storage activities of the affiliated pipelines. These measures included, separate employees, separate office space, limits on certain types of information exchange and non-discriminatory terms and conditions.  </w:t>
      </w:r>
    </w:p>
    <w:p>
      <w:pPr>
        <w:pStyle w:val="BodyTextIndent"/>
        <w:ind w:hanging="0" w:end="0"/>
        <w:jc w:val="both"/>
        <w:rPr/>
      </w:pPr>
      <w:r>
        <w:rPr/>
      </w:r>
    </w:p>
    <w:p>
      <w:pPr>
        <w:pStyle w:val="BodyTextIndent"/>
        <w:ind w:hanging="0" w:end="0"/>
        <w:jc w:val="both"/>
        <w:rPr/>
      </w:pPr>
      <w:r>
        <w:rPr/>
        <w:t>Apart from a few complaints in the years to follow--notable because of their rarity--Order 497 seemingly resolved the concern over the vertical use of market power in transmission and storage to interfere with merchant competition.  This marks a sharp contrast with the broader structural remedies that seem to occupy the forefront in dealing with the same issues in electricity.</w:t>
      </w:r>
    </w:p>
    <w:p>
      <w:pPr>
        <w:pStyle w:val="BodyTextIndent"/>
        <w:ind w:hanging="0" w:end="0"/>
        <w:rPr/>
      </w:pPr>
      <w:r>
        <w:rPr/>
      </w:r>
    </w:p>
    <w:p>
      <w:pPr>
        <w:pStyle w:val="Heading1"/>
        <w:ind w:hanging="0" w:start="0"/>
        <w:rPr/>
      </w:pPr>
      <w:r>
        <w:rPr/>
        <w:t>Here Comes the Judge--Order 500 and Its Progeny</w:t>
      </w:r>
    </w:p>
    <w:p>
      <w:pPr>
        <w:pStyle w:val="BodyTextIndent"/>
        <w:ind w:hanging="0" w:end="0"/>
        <w:rPr/>
      </w:pPr>
      <w:r>
        <w:rPr/>
      </w:r>
    </w:p>
    <w:p>
      <w:pPr>
        <w:pStyle w:val="BodyTextIndent"/>
        <w:ind w:hanging="0" w:end="0"/>
        <w:jc w:val="both"/>
        <w:rPr/>
      </w:pPr>
      <w:r>
        <w:rPr/>
        <w:t>In 1987, the DC Circuit Court of Appeals entered an order overturning FERC Order 436, sending the issue back to the FERC for further review.</w:t>
      </w:r>
      <w:r>
        <w:rPr>
          <w:rStyle w:val="FootnoteCharacters"/>
          <w:rStyle w:val="FootnoteReference"/>
        </w:rPr>
        <w:footnoteReference w:id="21"/>
      </w:r>
      <w:r>
        <w:rPr/>
        <w:t xml:space="preserve">  In essence, the Court found that the grant to producers, customers and other shippers of open access transportation (along with the benefits it conferred in the form of reduced gas costs) was inequitable without some accompanying relief for the take-or-pay exposure that it caused. The Court found that FERC had a duty to deal with both sides of the open access issue. In effect, FERC had been called on its game of shifting the problem upstream and leaving producers and pipelines to somehow work it out.</w:t>
      </w:r>
    </w:p>
    <w:p>
      <w:pPr>
        <w:pStyle w:val="BodyTextIndent"/>
        <w:ind w:hanging="0" w:end="0"/>
        <w:jc w:val="both"/>
        <w:rPr/>
      </w:pPr>
      <w:r>
        <w:rPr/>
      </w:r>
    </w:p>
    <w:p>
      <w:pPr>
        <w:pStyle w:val="BodyTextIndent"/>
        <w:ind w:hanging="0" w:end="0"/>
        <w:jc w:val="both"/>
        <w:rPr/>
      </w:pPr>
      <w:r>
        <w:rPr/>
        <w:t xml:space="preserve">It is worth noting that at this point the egg was hopelessly scrambled. Trillions of cubic feet of gas had already moved under Order 436, displacing like volumes of pipeline sales and ringing up massive contract liabilities.  For the reasons described above, much of that had already been settled.  There was simply no way to restore a closed access environment or figure out monetary payments that would accomplish the same result.  And although there was clearly room to amend open access rules going forward, the clear import of the DC Circuit decision was the need to arrive at some fairer sharing of the stranded costs that included customers, not just pipelines and their suppliers. </w:t>
      </w:r>
    </w:p>
    <w:p>
      <w:pPr>
        <w:pStyle w:val="BodyTextIndent"/>
        <w:ind w:hanging="0" w:end="0"/>
        <w:jc w:val="both"/>
        <w:rPr/>
      </w:pPr>
      <w:r>
        <w:rPr/>
      </w:r>
    </w:p>
    <w:p>
      <w:pPr>
        <w:pStyle w:val="BodyTextIndent"/>
        <w:ind w:hanging="0" w:end="0"/>
        <w:jc w:val="both"/>
        <w:rPr/>
      </w:pPr>
      <w:r>
        <w:rPr/>
        <w:t>FERC’s revised open access initiative was Order 500.</w:t>
      </w:r>
      <w:r>
        <w:rPr>
          <w:rStyle w:val="FootnoteCharacters"/>
          <w:rStyle w:val="FootnoteReference"/>
        </w:rPr>
        <w:footnoteReference w:id="22"/>
      </w:r>
      <w:r>
        <w:rPr/>
        <w:t xml:space="preserve">  This multi-part Order--which completed one round-trip again through the DC Circuit before being ultimately finalized--did several things.  As a forward looking matter, a producer could only avail itself of open access transportation on a pipeline if it waived take-or-pay obligations associated with the volume it transported.  In effect, FERC made the producer--and ultimately, one would presume, the potential customer for its gas on a spot basis--absorb the value of the take-or-pay right in deciding to do the deal.  </w:t>
      </w:r>
    </w:p>
    <w:p>
      <w:pPr>
        <w:pStyle w:val="BodyTextIndent"/>
        <w:ind w:hanging="0" w:end="0"/>
        <w:jc w:val="both"/>
        <w:rPr/>
      </w:pPr>
      <w:r>
        <w:rPr/>
      </w:r>
    </w:p>
    <w:p>
      <w:pPr>
        <w:pStyle w:val="BodyTextIndent"/>
        <w:ind w:hanging="0" w:end="0"/>
        <w:jc w:val="both"/>
        <w:rPr/>
      </w:pPr>
      <w:r>
        <w:rPr/>
        <w:t>This, of course, is a dramatically different dynamic than the Order 436 regime. Under Order 436 the spot deal went forward leaving the producer’s right to contractual payment for the pipeline system sales that it displaced intact.  In all likelihood, the evolution in the wholesale gas industry would have been dramatically different (much less change, much more slowly) had the original open access order taken this form.  By this point, however, the water was already under the bridge.</w:t>
      </w:r>
    </w:p>
    <w:p>
      <w:pPr>
        <w:pStyle w:val="BodyTextIndent"/>
        <w:ind w:hanging="0" w:end="0"/>
        <w:jc w:val="both"/>
        <w:rPr/>
      </w:pPr>
      <w:r>
        <w:rPr/>
      </w:r>
    </w:p>
    <w:p>
      <w:pPr>
        <w:pStyle w:val="BodyTextIndent"/>
        <w:ind w:hanging="0" w:end="0"/>
        <w:jc w:val="both"/>
        <w:rPr/>
      </w:pPr>
      <w:r>
        <w:rPr/>
        <w:t>Order 500 also instituted a sharing mechanism for costs pipelines had paid (or, prior to the sunset date included in the Order, would pay) to reform or terminate high-priced gas contracts.  Under this mechanism, up to half of those costs would be passed through to customers as a surcharge in their transportation rates</w:t>
      </w:r>
      <w:r>
        <w:rPr>
          <w:b/>
        </w:rPr>
        <w:t>.</w:t>
      </w:r>
      <w:r>
        <w:rPr>
          <w:rStyle w:val="FootnoteCharacters"/>
          <w:rStyle w:val="FootnoteReference"/>
        </w:rPr>
        <w:footnoteReference w:id="23"/>
      </w:r>
    </w:p>
    <w:p>
      <w:pPr>
        <w:pStyle w:val="BodyTextIndent"/>
        <w:ind w:hanging="0" w:end="0"/>
        <w:jc w:val="both"/>
        <w:rPr/>
      </w:pPr>
      <w:r>
        <w:rPr/>
      </w:r>
    </w:p>
    <w:p>
      <w:pPr>
        <w:pStyle w:val="BodyTextIndent"/>
        <w:ind w:hanging="0" w:end="0"/>
        <w:jc w:val="both"/>
        <w:rPr/>
      </w:pPr>
      <w:r>
        <w:rPr/>
        <w:t>Filings made pursuant to Order 500 reflected approximately 9 billion dollars in settlement.</w:t>
      </w:r>
      <w:r>
        <w:rPr>
          <w:rStyle w:val="FootnoteCharacters"/>
          <w:rStyle w:val="FootnoteReference"/>
        </w:rPr>
        <w:footnoteReference w:id="24"/>
      </w:r>
      <w:r>
        <w:rPr/>
        <w:t xml:space="preserve">  Notably, Order 500 contained no mechanism under which producers could share with customers some of the costs they absorbed in the (illegal) 436 environment.  Even in its DC Circuit response, the FERC message was clear--it was up to producers and pipelines together to first negotiate a solution to over-priced contracts.  The Commission wouldn’t decide a fair sharing of stranded costs between pipelines and producers on its own.  Nor, however, would it allow pipelines to simply let contracts run and pass through the unrecovered take-or-pay liabilities. </w:t>
      </w:r>
    </w:p>
    <w:p>
      <w:pPr>
        <w:pStyle w:val="BodyTextIndent"/>
        <w:ind w:hanging="0" w:end="0"/>
        <w:rPr/>
      </w:pPr>
      <w:r>
        <w:rPr/>
      </w:r>
    </w:p>
    <w:p>
      <w:pPr>
        <w:pStyle w:val="Heading1"/>
        <w:ind w:hanging="0" w:start="0"/>
        <w:rPr/>
      </w:pPr>
      <w:r>
        <w:rPr/>
        <w:t xml:space="preserve">Full Unbundling </w:t>
      </w:r>
    </w:p>
    <w:p>
      <w:pPr>
        <w:pStyle w:val="BodyTextIndent"/>
        <w:ind w:hanging="0" w:end="0"/>
        <w:rPr/>
      </w:pPr>
      <w:r>
        <w:rPr/>
      </w:r>
    </w:p>
    <w:p>
      <w:pPr>
        <w:pStyle w:val="BodyTextIndent"/>
        <w:ind w:hanging="0" w:end="0"/>
        <w:jc w:val="both"/>
        <w:rPr/>
      </w:pPr>
      <w:r>
        <w:rPr/>
        <w:t>As a result of Order 500 and the sunset period it provided for pre-authorized customer sharing, much of the historical contract obligation was eliminated or reformed to reflect current market prices.  However, the weighted-average cost of gas supplied by interstate pipelines, albeit for much less volume than it had at one time represented, still exceeded current market prices. In 1987 when Order 500 was issued, the average pipeline cost of gas was $2.39/mcf against an average spot price of $1.37/mcf.</w:t>
      </w:r>
      <w:r>
        <w:rPr>
          <w:rStyle w:val="FootnoteCharacters"/>
          <w:rStyle w:val="FootnoteReference"/>
        </w:rPr>
        <w:footnoteReference w:id="25"/>
      </w:r>
      <w:r>
        <w:rPr/>
        <w:t xml:space="preserve"> </w:t>
      </w:r>
    </w:p>
    <w:p>
      <w:pPr>
        <w:pStyle w:val="BodyTextIndent"/>
        <w:ind w:hanging="0" w:end="0"/>
        <w:jc w:val="both"/>
        <w:rPr/>
      </w:pPr>
      <w:r>
        <w:rPr/>
      </w:r>
    </w:p>
    <w:p>
      <w:pPr>
        <w:pStyle w:val="BodyTextIndent"/>
        <w:ind w:hanging="0" w:end="0"/>
        <w:jc w:val="both"/>
        <w:rPr/>
      </w:pPr>
      <w:r>
        <w:rPr/>
        <w:t>Faced with wholesale supplies that continued to be over-priced relative to market levels, FERC returned to its consistent theme in what had by that time become a full-blown restructuring process. In 1991, FERC opened a rule-making process to identify initiatives that would allow competition apparent in wellhead gas pricing to fully discipline pricing at downstream gas-trading points--including the wholesale city gate--all along the interstate pipeline system.</w:t>
      </w:r>
    </w:p>
    <w:p>
      <w:pPr>
        <w:pStyle w:val="BodyTextIndent"/>
        <w:ind w:hanging="0" w:end="0"/>
        <w:jc w:val="both"/>
        <w:rPr/>
      </w:pPr>
      <w:r>
        <w:rPr/>
      </w:r>
    </w:p>
    <w:p>
      <w:pPr>
        <w:pStyle w:val="BodyTextIndent"/>
        <w:ind w:hanging="0" w:end="0"/>
        <w:jc w:val="both"/>
        <w:rPr/>
      </w:pPr>
      <w:r>
        <w:rPr/>
        <w:t>FERC noted that the much of the volume moved on interstate pipelines by independent shippers involved short-term interruptible volumes, while the firm peak-day supply business remained in the hands of the interstate pipelines.  Data filed with the FERC at the time showed that 60 percent of the peak day capacity on major pipelines was reserved for pipeline firm sales (although pipeline supply accounted for less than 20 percent of total throughputs) and that pipeline sales during peak demand events were substantially higher than in off-peak periods (52.4 percent against 18.8 percent of total throughput).</w:t>
      </w:r>
      <w:r>
        <w:rPr>
          <w:rStyle w:val="FootnoteCharacters"/>
          <w:rStyle w:val="FootnoteReference"/>
        </w:rPr>
        <w:footnoteReference w:id="26"/>
      </w:r>
      <w:r>
        <w:rPr/>
        <w:t xml:space="preserve"> </w:t>
      </w:r>
    </w:p>
    <w:p>
      <w:pPr>
        <w:pStyle w:val="BodyTextIndent"/>
        <w:ind w:hanging="0" w:end="0"/>
        <w:jc w:val="both"/>
        <w:rPr/>
      </w:pPr>
      <w:r>
        <w:rPr/>
      </w:r>
    </w:p>
    <w:p>
      <w:pPr>
        <w:pStyle w:val="BodyTextIndent"/>
        <w:ind w:hanging="0" w:end="0"/>
        <w:jc w:val="both"/>
        <w:rPr/>
      </w:pPr>
      <w:r>
        <w:rPr/>
        <w:t>FERC concluded that pipelines’ unique ability to bundle gas merchant service with firm rights to transmission and storage constituted a service superior to that independent marketers could offer.</w:t>
      </w:r>
      <w:r>
        <w:rPr>
          <w:rStyle w:val="FootnoteCharacters"/>
          <w:rStyle w:val="FootnoteReference"/>
        </w:rPr>
        <w:footnoteReference w:id="27"/>
      </w:r>
      <w:r>
        <w:rPr/>
        <w:t xml:space="preserve">  Moreover, FERC was concerned about the pipelines’ ability to vary terms and conditions for other services within the bundle, creating a competitive advantage for its merchant function.</w:t>
      </w:r>
      <w:r>
        <w:rPr>
          <w:rStyle w:val="FootnoteCharacters"/>
          <w:rStyle w:val="FootnoteReference"/>
        </w:rPr>
        <w:footnoteReference w:id="28"/>
      </w:r>
      <w:r>
        <w:rPr/>
        <w:t xml:space="preserve">  And, as long as the pipeline could insulate its peak-day merchant business from effective competition, spot-market prices would not fully discipline resale rates for the pipelines’ gas commodity. </w:t>
      </w:r>
    </w:p>
    <w:p>
      <w:pPr>
        <w:pStyle w:val="BodyTextIndent"/>
        <w:ind w:hanging="0" w:end="0"/>
        <w:jc w:val="both"/>
        <w:rPr/>
      </w:pPr>
      <w:r>
        <w:rPr/>
      </w:r>
    </w:p>
    <w:p>
      <w:pPr>
        <w:pStyle w:val="BodyTextIndent"/>
        <w:ind w:hanging="0" w:end="0"/>
        <w:jc w:val="both"/>
        <w:rPr/>
      </w:pPr>
      <w:r>
        <w:rPr/>
        <w:t>FERC’s solution was to move the merchant function out of the interstate pipeline, making the interstate pipeline an open-access supplier of storage and transmission service--firm and interruptible--for all of the customers’ merchant alternatives.  This was accomplished through Order 636 issued in 1992.</w:t>
      </w:r>
      <w:r>
        <w:rPr>
          <w:rStyle w:val="FootnoteCharacters"/>
          <w:rStyle w:val="FootnoteReference"/>
        </w:rPr>
        <w:footnoteReference w:id="29"/>
      </w:r>
      <w:r>
        <w:rPr/>
        <w:t xml:space="preserve">  Order 636 barred interstate pipelines from continuing to offer the gas commodity, transportation and storage in a bundled gas service.</w:t>
      </w:r>
      <w:r>
        <w:rPr>
          <w:rStyle w:val="FootnoteCharacters"/>
          <w:rStyle w:val="FootnoteReference"/>
        </w:rPr>
        <w:footnoteReference w:id="30"/>
      </w:r>
      <w:r>
        <w:rPr/>
        <w:t xml:space="preserve">  All pipelines were required to submit tariffs and plans for reorganizing their business to comply with the Order by the November 1993 (in time for the upcoming heating season.)   </w:t>
      </w:r>
    </w:p>
    <w:p>
      <w:pPr>
        <w:pStyle w:val="BodyTextIndent"/>
        <w:ind w:hanging="0" w:end="0"/>
        <w:jc w:val="both"/>
        <w:rPr/>
      </w:pPr>
      <w:r>
        <w:rPr/>
      </w:r>
    </w:p>
    <w:p>
      <w:pPr>
        <w:pStyle w:val="BodyTextIndent"/>
        <w:ind w:hanging="0" w:end="0"/>
        <w:jc w:val="both"/>
        <w:rPr/>
      </w:pPr>
      <w:r>
        <w:rPr/>
        <w:t>Under Order 636, the pipelines’ obligations to provide merchant service to their wholesale customers would cease.  Wholesale customers were given the opportunity to choose their supplier.  Depending on the outcome of those choices, pipelines had the option of buying out (or otherwise terminating) their existing gas supply contracts, assigning them to their former wholesale customers or assigning them to marketers (including potentially their unregulated marketing affiliates) who would then assume the pipelines’ wholesale supply role</w:t>
      </w:r>
    </w:p>
    <w:p>
      <w:pPr>
        <w:pStyle w:val="BodyTextIndent"/>
        <w:ind w:hanging="0" w:end="0"/>
        <w:jc w:val="both"/>
        <w:rPr/>
      </w:pPr>
      <w:r>
        <w:rPr/>
      </w:r>
    </w:p>
    <w:p>
      <w:pPr>
        <w:pStyle w:val="BodyTextIndent"/>
        <w:ind w:hanging="0" w:end="0"/>
        <w:jc w:val="both"/>
        <w:rPr/>
      </w:pPr>
      <w:r>
        <w:rPr/>
        <w:t>This restructuring of industry supply roles would clearly strand additional costs associated with supply contracts. Indeed, the purpose in this restructuring was exactly that. By making market-based supply a viable alternative to customers, no customer would then pay premium prices existing in pipelines’ historical supply contracts.  The gap between actual wholesale prices and current market values that FERC began to address in 1984 would finally be closed.</w:t>
      </w:r>
    </w:p>
    <w:p>
      <w:pPr>
        <w:pStyle w:val="BodyTextIndent"/>
        <w:ind w:hanging="0" w:end="0"/>
        <w:jc w:val="both"/>
        <w:rPr/>
      </w:pPr>
      <w:r>
        <w:rPr/>
      </w:r>
    </w:p>
    <w:p>
      <w:pPr>
        <w:pStyle w:val="BodyTextIndent"/>
        <w:ind w:hanging="0" w:end="0"/>
        <w:jc w:val="both"/>
        <w:rPr/>
      </w:pPr>
      <w:r>
        <w:rPr/>
        <w:t>To do so, however, FERC again set a finite period with a sunset date during which pipelines could submit transition costs--particularly although not exclusively contract reformation costs--for inclusion in transportation rates as a stranded cost recovery surcharge.  Overall, interstate pipelines filed $3.4 billion in stranded costs associated with Order 636.</w:t>
      </w:r>
      <w:r>
        <w:rPr>
          <w:rStyle w:val="FootnoteCharacters"/>
          <w:rStyle w:val="FootnoteReference"/>
        </w:rPr>
        <w:footnoteReference w:id="31"/>
      </w:r>
      <w:r>
        <w:rPr/>
        <w:t xml:space="preserve">  Rather than incur the stranded cost surcharges that contract termination or reformation would bring, many wholesale customers elected to accept assignment of pipelines’ existing supply obligations. Hence, some of the above-market premium was directly absorbed by customers in a fashion that was not reflected in stranded cost filings.</w:t>
      </w:r>
    </w:p>
    <w:p>
      <w:pPr>
        <w:pStyle w:val="BodyTextIndent"/>
        <w:ind w:hanging="0" w:end="0"/>
        <w:jc w:val="both"/>
        <w:rPr/>
      </w:pPr>
      <w:r>
        <w:rPr/>
      </w:r>
    </w:p>
    <w:p>
      <w:pPr>
        <w:pStyle w:val="BodyTextIndent"/>
        <w:ind w:hanging="0" w:end="0"/>
        <w:jc w:val="both"/>
        <w:rPr/>
      </w:pPr>
      <w:r>
        <w:rPr/>
        <w:t xml:space="preserve">Order 636 achieved its intended goals.  Today, the gas merchant business is a national market, with numerous buyers and sellers who compete with one another based upon price and service offerings.  The transportation natural monopoly remains highly concentrated and regulated.  Indeed, if anything, a wave of mergers and consolidation in the mid- to latter 1990s leaves control of the transportation segment of the industry in fewer hands than it was prior to restructuring.  Yet, competition in the merchant business seems today to be largely unfettered by the ongoing need to obtain regulated transportation, in many cases from affiliated suppliers.  In many ways, the end result is a textbook example of the manner in which restructuring can pull back the boundaries of regulation, allowing competition to flourish where it did not previously.  </w:t>
      </w:r>
    </w:p>
    <w:p>
      <w:pPr>
        <w:pStyle w:val="BodyTextIndent"/>
        <w:ind w:hanging="0" w:end="0"/>
        <w:rPr/>
      </w:pPr>
      <w:r>
        <w:rPr/>
      </w:r>
    </w:p>
    <w:p>
      <w:pPr>
        <w:pStyle w:val="BodyTextIndent"/>
        <w:ind w:hanging="0" w:end="0"/>
        <w:rPr/>
      </w:pPr>
      <w:r>
        <w:rPr/>
      </w:r>
    </w:p>
    <w:p>
      <w:pPr>
        <w:pStyle w:val="Heading2"/>
        <w:numPr>
          <w:ilvl w:val="0"/>
          <w:numId w:val="9"/>
        </w:numPr>
        <w:rPr>
          <w:u w:val="none"/>
        </w:rPr>
      </w:pPr>
      <w:r>
        <w:rPr>
          <w:u w:val="none"/>
        </w:rPr>
        <w:t>THE EFFECTS OF WHOLESALE GAS RESTRUCTURING</w:t>
      </w:r>
    </w:p>
    <w:p>
      <w:pPr>
        <w:pStyle w:val="BodyTextIndent"/>
        <w:ind w:hanging="0" w:end="0"/>
        <w:rPr>
          <w:b/>
          <w:u w:val="none"/>
        </w:rPr>
      </w:pPr>
      <w:r>
        <w:rPr>
          <w:b/>
          <w:u w:val="none"/>
        </w:rPr>
      </w:r>
    </w:p>
    <w:p>
      <w:pPr>
        <w:pStyle w:val="BodyTextIndent"/>
        <w:numPr>
          <w:ilvl w:val="0"/>
          <w:numId w:val="8"/>
        </w:numPr>
        <w:tabs>
          <w:tab w:val="clear" w:pos="720"/>
          <w:tab w:val="left" w:pos="1080" w:leader="none"/>
        </w:tabs>
        <w:ind w:hanging="360" w:start="1080" w:end="0"/>
        <w:rPr>
          <w:b/>
        </w:rPr>
      </w:pPr>
      <w:r>
        <w:rPr>
          <w:b/>
        </w:rPr>
        <w:t>Gas Commodity Markets</w:t>
      </w:r>
    </w:p>
    <w:p>
      <w:pPr>
        <w:pStyle w:val="BodyTextIndent"/>
        <w:ind w:hanging="0" w:start="720" w:end="0"/>
        <w:rPr>
          <w:b/>
        </w:rPr>
      </w:pPr>
      <w:r>
        <w:rPr>
          <w:b/>
        </w:rPr>
      </w:r>
    </w:p>
    <w:p>
      <w:pPr>
        <w:pStyle w:val="BodyTextIndent"/>
        <w:ind w:hanging="0" w:end="0"/>
        <w:jc w:val="both"/>
        <w:rPr/>
      </w:pPr>
      <w:r>
        <w:rPr/>
        <w:t xml:space="preserve">As noted above, gas restructuring moved the merchant function out from under regulatory control, allowing market discipline to set commodity prices.  Along with that general shift in the market control mechanism, there were a number of more specific changes that are of interest here. First, wholesale supply prices for the gas commodity moved from being well above contemporaneous market values to reflecting concurrent market values.  For the transition period, (and for some years thereafter), customers paid substantially less than they would otherwise have paid. </w:t>
      </w:r>
    </w:p>
    <w:p>
      <w:pPr>
        <w:pStyle w:val="BodyTextIndent"/>
        <w:ind w:hanging="0" w:end="0"/>
        <w:jc w:val="both"/>
        <w:rPr/>
      </w:pPr>
      <w:r>
        <w:rPr/>
      </w:r>
    </w:p>
    <w:p>
      <w:pPr>
        <w:pStyle w:val="BodyTextIndent"/>
        <w:ind w:hanging="0" w:end="0"/>
        <w:jc w:val="both"/>
        <w:rPr/>
      </w:pPr>
      <w:r>
        <w:rPr/>
        <w:t xml:space="preserve">This result is sometimes cited as a key benefit of gas industry restructuring--e.g. “it produced much lower prices…” or the like.  It is important to understand, however, that lower prices were not the result of competition replacing regulation.  Lower prices for wholesale customers came about because producers and pipelines absorbed stranded costs associated with existing high-priced contract liabilities.  But for that stranded cost absorption, there is no reason to believe that wholesale customers would have paid any less in the end. This was the result of the process FERC followed in accomplishing the shift from regulation to competition, not the result of competition itself. </w:t>
      </w:r>
    </w:p>
    <w:p>
      <w:pPr>
        <w:pStyle w:val="BodyTextIndent"/>
        <w:ind w:hanging="0" w:end="0"/>
        <w:jc w:val="both"/>
        <w:rPr/>
      </w:pPr>
      <w:r>
        <w:rPr/>
      </w:r>
    </w:p>
    <w:p>
      <w:pPr>
        <w:pStyle w:val="BodyTextIndent"/>
        <w:ind w:hanging="0" w:end="0"/>
        <w:jc w:val="both"/>
        <w:rPr/>
      </w:pPr>
      <w:r>
        <w:rPr/>
        <w:t xml:space="preserve">In the mid-1980s, wholesale gas prices were high compared to then-current market values because wholesale suppliers--the regulated interstate pipelines that bundled gas supply with transportation service--were locked into long-term contracts with above-market pricing provisions dictated by the scarcity of the prior decade.  When FERC freed wholesale buyers from their minimum bill commitments and then (in effect) forced pipelines to provide transportation access for alternative market-based supplies, FERC effectively stranded billions of dollars of existing gas supply contract obligations.  </w:t>
      </w:r>
    </w:p>
    <w:p>
      <w:pPr>
        <w:pStyle w:val="BodyTextIndent"/>
        <w:ind w:hanging="0" w:end="0"/>
        <w:jc w:val="both"/>
        <w:rPr/>
      </w:pPr>
      <w:r>
        <w:rPr/>
      </w:r>
    </w:p>
    <w:p>
      <w:pPr>
        <w:pStyle w:val="BodyTextIndent"/>
        <w:ind w:hanging="0" w:end="0"/>
        <w:jc w:val="both"/>
        <w:rPr/>
      </w:pPr>
      <w:r>
        <w:rPr/>
        <w:t>At the time, FERC faced a range of potential policy choices. From the outset, they could have provided for stranded cost recovery through surcharges added to non-bypassable transportation rates.  Of course, had FERC done so, prices would not have come down; nor would there have been any leverage for producers to absorb some of the stranded cost.</w:t>
      </w:r>
    </w:p>
    <w:p>
      <w:pPr>
        <w:pStyle w:val="BodyTextIndent"/>
        <w:ind w:hanging="0" w:end="0"/>
        <w:jc w:val="both"/>
        <w:rPr/>
      </w:pPr>
      <w:r>
        <w:rPr/>
      </w:r>
    </w:p>
    <w:p>
      <w:pPr>
        <w:pStyle w:val="BodyTextIndent"/>
        <w:ind w:hanging="0" w:end="0"/>
        <w:jc w:val="both"/>
        <w:rPr/>
      </w:pPr>
      <w:r>
        <w:rPr/>
        <w:t>FERC could have declared gas costs under above-market contracts to be imprudent, preventing the passthrough of any premium and forcing pipelines and producers together to absorb the stranded costs.</w:t>
      </w:r>
      <w:r>
        <w:rPr>
          <w:rStyle w:val="FootnoteCharacters"/>
          <w:rStyle w:val="FootnoteReference"/>
        </w:rPr>
        <w:footnoteReference w:id="32"/>
      </w:r>
      <w:r>
        <w:rPr/>
        <w:t xml:space="preserve"> This approach likely would have created a firestorm of criticism insofar as FERC--and congressional--encouragement certainly played a role in the aggressive efforts to sign up new supplies during the years leading up to this period.</w:t>
      </w:r>
    </w:p>
    <w:p>
      <w:pPr>
        <w:pStyle w:val="BodyTextIndent"/>
        <w:ind w:hanging="0" w:end="0"/>
        <w:jc w:val="both"/>
        <w:rPr/>
      </w:pPr>
      <w:r>
        <w:rPr/>
      </w:r>
    </w:p>
    <w:p>
      <w:pPr>
        <w:pStyle w:val="BodyTextIndent"/>
        <w:ind w:hanging="0" w:end="0"/>
        <w:jc w:val="both"/>
        <w:rPr/>
      </w:pPr>
      <w:r>
        <w:rPr/>
        <w:t xml:space="preserve">At least initially, FERC chose instead to combine silence on the ultimate recoverability of mounting take-or-pay obligations with frequent admonitions about the need to have market signals operating at the wellhead.  At the same time, it made a series of rule changes designed to make it more difficult for pipelines to actually continue selling high-priced gas.  The message to pipelines was clear--reform your contracts or face huge disallowances of unrecouped take-or-pay payments.  </w:t>
      </w:r>
    </w:p>
    <w:p>
      <w:pPr>
        <w:pStyle w:val="BodyTextIndent"/>
        <w:ind w:hanging="0" w:end="0"/>
        <w:jc w:val="both"/>
        <w:rPr/>
      </w:pPr>
      <w:r>
        <w:rPr/>
      </w:r>
    </w:p>
    <w:p>
      <w:pPr>
        <w:pStyle w:val="BodyTextIndent"/>
        <w:ind w:hanging="0" w:end="0"/>
        <w:jc w:val="both"/>
        <w:rPr/>
      </w:pPr>
      <w:r>
        <w:rPr/>
        <w:t xml:space="preserve">Pipelines heeded this message.  Together, with producers they absorbed much of the stranded cost.  As is shown in Figure 2 (Estimated Stranded Supply Costs), had pipeline supply costs--and, derivatively wholesale commodity--prices remained at their 1985 average level through 1992, wholesale customers would have paid, in total, $62 billion more than they actually paid during this period.  </w:t>
      </w:r>
    </w:p>
    <w:p>
      <w:pPr>
        <w:pStyle w:val="BodyTextIndent"/>
        <w:ind w:hanging="0" w:end="0"/>
        <w:jc w:val="both"/>
        <w:rPr/>
      </w:pPr>
      <w:r>
        <w:rPr/>
      </w:r>
    </w:p>
    <w:p>
      <w:pPr>
        <w:pStyle w:val="BodyTextIndent"/>
        <w:ind w:hanging="0" w:end="0"/>
        <w:jc w:val="both"/>
        <w:rPr/>
      </w:pPr>
      <w:r>
        <w:rPr/>
        <w:t>Based on pipeline filings made in connection with Orders’ 500 and 636, wholesale customers absorbed $12.4 billion of this amount in stranded cost surcharges.  The remainder was absorbed by pipelines and producers.  This was not the result of competition per se.  Instead, it was the result of the manner in which FERC chose to open the industry to competition.  FERC’s process forced pipelines and producers together to negotiate most of their existing contract obligations away.</w:t>
      </w:r>
    </w:p>
    <w:p>
      <w:pPr>
        <w:pStyle w:val="BodyTextIndent"/>
        <w:ind w:hanging="0" w:end="0"/>
        <w:jc w:val="both"/>
        <w:rPr/>
      </w:pPr>
      <w:r>
        <w:rPr/>
      </w:r>
    </w:p>
    <w:p>
      <w:pPr>
        <w:pStyle w:val="BodyTextIndent"/>
        <w:ind w:hanging="0" w:end="0"/>
        <w:jc w:val="both"/>
        <w:rPr/>
      </w:pPr>
      <w:r>
        <w:rPr/>
        <w:t xml:space="preserve">Wholesale gas restructuring also resulted in a new set of independent merchant companies taking the place of interstate pipelines in the wholesale gas buying and selling function.  This change cannot be read, however, as the result of competitive efficiencies--unleashed by restructuring--forcing out less efficient suppliers. </w:t>
      </w:r>
    </w:p>
    <w:p>
      <w:pPr>
        <w:pStyle w:val="BodyTextIndent"/>
        <w:ind w:hanging="0" w:end="0"/>
        <w:jc w:val="both"/>
        <w:rPr/>
      </w:pPr>
      <w:r>
        <w:rPr/>
      </w:r>
    </w:p>
    <w:p>
      <w:pPr>
        <w:pStyle w:val="BodyTextIndent"/>
        <w:ind w:hanging="0" w:end="0"/>
        <w:jc w:val="both"/>
        <w:rPr/>
      </w:pPr>
      <w:r>
        <w:rPr/>
        <w:t xml:space="preserve">The decline in the merchant sales of pipelines is shown in Figure 3. Over the eight-year period beginning in 1985, pipeline merchant sales would decline from 60% of total natural gas consumption in this country to just over 10%.  </w:t>
      </w:r>
    </w:p>
    <w:p>
      <w:pPr>
        <w:pStyle w:val="BodyTextIndent"/>
        <w:ind w:hanging="0" w:end="0"/>
        <w:jc w:val="both"/>
        <w:rPr/>
      </w:pPr>
      <w:r>
        <w:rPr/>
      </w:r>
    </w:p>
    <w:p>
      <w:pPr>
        <w:pStyle w:val="BodyTextIndent"/>
        <w:ind w:hanging="0" w:end="0"/>
        <w:jc w:val="both"/>
        <w:rPr/>
      </w:pPr>
      <w:r>
        <w:rPr/>
        <w:t>Even prior to Order 636, the process of wholesale gas restructuring severely tilted the merchant playing field against the incumbent regulated pipelines. They were required to sell all gas at the weighted-average-gas-cost (WACOG) reflected in their biannual PGA (purchased gas adjustment) filings.  They were not permitted to discount--even assuming they were prepared to absorb the shortfall--below their WACOG.  Nor were they permitted to charge different customers different prices based upon competitive circumstances.  As markets moved up and own each month--mostly down compared with historically driven WACOGs--pipeline merchants were easily displaced by unregulated competitors offering market-based prices.</w:t>
      </w:r>
    </w:p>
    <w:p>
      <w:pPr>
        <w:pStyle w:val="BodyTextIndent"/>
        <w:ind w:hanging="0" w:end="0"/>
        <w:jc w:val="both"/>
        <w:rPr/>
      </w:pPr>
      <w:r>
        <w:rPr/>
      </w:r>
    </w:p>
    <w:p>
      <w:pPr>
        <w:pStyle w:val="BodyTextIndent"/>
        <w:ind w:hanging="0" w:end="0"/>
        <w:jc w:val="both"/>
        <w:rPr/>
      </w:pPr>
      <w:r>
        <w:rPr/>
        <w:t xml:space="preserve">Pipeline merchants did have an advantage in their ability to offer a firm bundled service with peak-day flexibility that allowed customers to get gas they needed on a peak day without paying for it year-around.  In fact, this is the role they were relegated to.  Pipeline customers limited their purchases of pipeline supply chiefly to peak-demand days when the lack of access to firm rights for on-demand transportation and storage service limited the role of unregulated merchants. The rest of the year, wholesale buyers used the unregulated merchant competitors who could access cheap spot supplies of gas and transportation.  </w:t>
      </w:r>
    </w:p>
    <w:p>
      <w:pPr>
        <w:pStyle w:val="BodyTextIndent"/>
        <w:ind w:hanging="0" w:end="0"/>
        <w:jc w:val="both"/>
        <w:rPr/>
      </w:pPr>
      <w:r>
        <w:rPr/>
      </w:r>
    </w:p>
    <w:p>
      <w:pPr>
        <w:pStyle w:val="BodyTextIndent"/>
        <w:ind w:hanging="0" w:end="0"/>
        <w:jc w:val="both"/>
        <w:rPr/>
      </w:pPr>
      <w:r>
        <w:rPr/>
        <w:t>As an aside, this behavior further aggravated pipelines’ supply problems.  The producer contracts that stood behind pipelines’ ability to meet peak day demands contained annual take-or-pay obligations.  Hence, as customers flocked to unregulated merchants on off-peak days, take-or-pay obligations on supply contracts needed for peak-day service obligations mushroomed.</w:t>
      </w:r>
    </w:p>
    <w:p>
      <w:pPr>
        <w:pStyle w:val="BodyTextIndent"/>
        <w:ind w:hanging="0" w:end="0"/>
        <w:jc w:val="both"/>
        <w:rPr/>
      </w:pPr>
      <w:r>
        <w:rPr/>
      </w:r>
    </w:p>
    <w:p>
      <w:pPr>
        <w:pStyle w:val="BodyTextIndent"/>
        <w:ind w:hanging="0" w:end="0"/>
        <w:jc w:val="both"/>
        <w:rPr/>
      </w:pPr>
      <w:r>
        <w:rPr/>
        <w:t>In the end, Order 636 forced--given the FERC-jurisdictional service agreements that bound pipelines to continue providing this peak-day free ride, perhaps a better term might be enabled--pipelines to exit the merchant function.  In any case, the ascendance of independent unregulated merchants was a change engineered by the restructuring process, not a result dictated by efficiencies unleashed through the resulting competition.</w:t>
      </w:r>
    </w:p>
    <w:p>
      <w:pPr>
        <w:pStyle w:val="BodyTextIndent"/>
        <w:ind w:hanging="0" w:end="0"/>
        <w:jc w:val="both"/>
        <w:rPr/>
      </w:pPr>
      <w:r>
        <w:rPr/>
      </w:r>
    </w:p>
    <w:p>
      <w:pPr>
        <w:pStyle w:val="BodyTextIndent"/>
        <w:ind w:hanging="0" w:end="0"/>
        <w:jc w:val="both"/>
        <w:rPr/>
      </w:pPr>
      <w:r>
        <w:rPr/>
        <w:t>One other thing that happened to the merchant business in connection with the restructuring process is that markets developed for trading gas at many locations throughout the country where pipelines connected with gathering systems serving producers, with each other or with LDCs.  Numerous market-reporting services appeared, surveying buyers and sellers and providing weekly and monthly assessments of typical transaction prices. These market-price assessments became the backbone of natural gas contracting, with the vast majority of contracts tied in one way or another to the reported prices.</w:t>
      </w:r>
    </w:p>
    <w:p>
      <w:pPr>
        <w:pStyle w:val="BodyTextIndent"/>
        <w:ind w:hanging="0" w:end="0"/>
        <w:jc w:val="both"/>
        <w:rPr/>
      </w:pPr>
      <w:r>
        <w:rPr/>
      </w:r>
    </w:p>
    <w:p>
      <w:pPr>
        <w:pStyle w:val="BodyTextIndent"/>
        <w:ind w:hanging="0" w:end="0"/>
        <w:jc w:val="both"/>
        <w:rPr/>
      </w:pPr>
      <w:r>
        <w:rPr/>
        <w:t xml:space="preserve">Close on the heels of this market development, a futures market developed. The New York Mercantile Exchange began trading a standardized contract for natural gas in April 1990.  This contract called for delivery of 10,000 mmbtu/day for a month to a location called Henry Hub.  Henry Hub is a location in Louisiana where 7 pipelines deliver gas from production areas and 5 pipelines take away gas to market areas.  Henry Hub provided a location where numerous buyers and sellers would be willing to exchange gas.  This contract quickly achieved a high level of liquidity and Henry Hub became a standard reference point for pricing of natural gas.  </w:t>
      </w:r>
    </w:p>
    <w:p>
      <w:pPr>
        <w:pStyle w:val="BodyTextIndent"/>
        <w:ind w:hanging="0" w:end="0"/>
        <w:rPr/>
      </w:pPr>
      <w:r>
        <w:rPr/>
      </w:r>
    </w:p>
    <w:p>
      <w:pPr>
        <w:pStyle w:val="BodyTextIndent"/>
        <w:ind w:hanging="0" w:end="0"/>
        <w:jc w:val="both"/>
        <w:rPr/>
      </w:pPr>
      <w:r>
        <w:rPr/>
        <w:t xml:space="preserve">Along with the emergence of a futures market, the more sophisticated new merchants began offering gas customers products that monetized future price risk, allowing competition and the marketplace to efficiently price and allocate uncertainty over future price levels.  Some of those same firms also began to offer products that locked in geographic price spreads, allowing customers to source supplies from across the country, while paying others in the market to absorb the risk associated with changing geographic price spreads </w:t>
      </w:r>
    </w:p>
    <w:p>
      <w:pPr>
        <w:pStyle w:val="BodyTextIndent"/>
        <w:rPr/>
      </w:pPr>
      <w:r>
        <w:rPr/>
      </w:r>
    </w:p>
    <w:p>
      <w:pPr>
        <w:pStyle w:val="BodyTextIndent"/>
        <w:numPr>
          <w:ilvl w:val="0"/>
          <w:numId w:val="8"/>
        </w:numPr>
        <w:tabs>
          <w:tab w:val="clear" w:pos="720"/>
          <w:tab w:val="left" w:pos="1080" w:leader="none"/>
        </w:tabs>
        <w:ind w:hanging="360" w:start="1080" w:end="0"/>
        <w:rPr>
          <w:b/>
        </w:rPr>
      </w:pPr>
      <w:r>
        <w:rPr>
          <w:b/>
        </w:rPr>
        <w:t>Pipeline Assets</w:t>
      </w:r>
    </w:p>
    <w:p>
      <w:pPr>
        <w:pStyle w:val="BodyTextIndent"/>
        <w:ind w:hanging="0" w:end="0"/>
        <w:rPr>
          <w:b/>
        </w:rPr>
      </w:pPr>
      <w:r>
        <w:rPr>
          <w:b/>
        </w:rPr>
      </w:r>
    </w:p>
    <w:p>
      <w:pPr>
        <w:pStyle w:val="BodyTextIndent"/>
        <w:ind w:hanging="0" w:end="0"/>
        <w:jc w:val="both"/>
        <w:rPr/>
      </w:pPr>
      <w:r>
        <w:rPr/>
        <w:t xml:space="preserve">Several noteworthy changes have occurred with respect to the physical amount, market value, and ownership of pipeline assets.  First, restructuring ended regulatory control (and limitation) over new pipeline construction.  This resulted in a substantial increase in pipeline capacity.  Figure 4 shows the annual growth rate of gas consumption since Order 636 compared with annual growth rate in  pipeline capacity.  Today, the amount of capacity is much higher relative to consumption than it was prior to restructuring.  This result is especially noteworthy given the general weakness in natural gas demand and prices during the 1990s. </w:t>
      </w:r>
    </w:p>
    <w:p>
      <w:pPr>
        <w:pStyle w:val="BodyTextIndent"/>
        <w:rPr/>
      </w:pPr>
      <w:r>
        <w:rPr/>
      </w:r>
    </w:p>
    <w:p>
      <w:pPr>
        <w:pStyle w:val="BodyTextIndent"/>
        <w:ind w:hanging="0" w:end="0"/>
        <w:jc w:val="both"/>
        <w:rPr/>
      </w:pPr>
      <w:r>
        <w:rPr/>
        <w:t>One can interpret this result different ways.  On the one hand, regulated rates of return may have been set too high.  In that case, regulatory control over new capacity designed to protect the ability of existing pipelines to achieve those rates of return may have kept the total amount of capacity artificially constrained.  From that perspective, the growth in capacity subsequent to restructuring would be a good thing.</w:t>
      </w:r>
    </w:p>
    <w:p>
      <w:pPr>
        <w:pStyle w:val="BodyTextIndent"/>
        <w:rPr/>
      </w:pPr>
      <w:r>
        <w:rPr/>
      </w:r>
    </w:p>
    <w:p>
      <w:pPr>
        <w:pStyle w:val="BodyTextIndent"/>
        <w:ind w:hanging="0" w:end="0"/>
        <w:jc w:val="both"/>
        <w:rPr/>
      </w:pPr>
      <w:r>
        <w:rPr/>
        <w:t xml:space="preserve">On the other hand, the 10-year restructuring process created financial problems and strategic issues that overwhelmed some pipelines, certainly preoccupying management attention at most of them.  The opportunity was ripe for new pipeline entrants, unencumbered by the gas supply problems of incumbents, who had much clearer incentives to meet the service needs of newly emerging merchants.  To that extent, the additional capacity may have been an inefficient, opportunistic response to the process. </w:t>
      </w:r>
    </w:p>
    <w:p>
      <w:pPr>
        <w:pStyle w:val="BodyTextIndent"/>
        <w:rPr/>
      </w:pPr>
      <w:r>
        <w:rPr/>
      </w:r>
    </w:p>
    <w:p>
      <w:pPr>
        <w:pStyle w:val="BodyTextIndent"/>
        <w:ind w:hanging="0" w:end="0"/>
        <w:jc w:val="both"/>
        <w:rPr/>
      </w:pPr>
      <w:r>
        <w:rPr/>
        <w:t xml:space="preserve">As is shown in Table 2, which lists the pipelines owned by the major pipeline companies, pipeline ownership has consolidated since restructuring occurred.  Two decades ago, most of the 25 (or so) major interstate pipelines were stand-alone entities.  Today, those same pipelines are owned by five companies. </w:t>
      </w:r>
    </w:p>
    <w:p>
      <w:pPr>
        <w:pStyle w:val="BodyTextIndent"/>
        <w:ind w:hanging="0" w:end="0"/>
        <w:jc w:val="both"/>
        <w:rPr/>
      </w:pPr>
      <w:r>
        <w:rPr/>
      </w:r>
    </w:p>
    <w:p>
      <w:pPr>
        <w:pStyle w:val="BodyTextIndent"/>
        <w:ind w:hanging="0" w:end="0"/>
        <w:jc w:val="both"/>
        <w:rPr/>
      </w:pPr>
      <w:r>
        <w:rPr/>
        <w:t xml:space="preserve">On the whole, this would appear to be a good result of restructuring from an efficiency standpoint.  It likely reflects increased competitive pressure to reduce overhead and administrative costs. It may also reflect market-driven pressure to eliminate pancaking of rates for the movement of gas across the national pipeline grid.  In this regard, it is interesting to note that much of the consolidation has occurred among pipeline systems that complement each other geographically.  Good examples here would be El Paso’s acquisition of Coastal and Sonat. </w:t>
      </w:r>
    </w:p>
    <w:p>
      <w:pPr>
        <w:pStyle w:val="BodyTextIndent"/>
        <w:ind w:hanging="0" w:end="0"/>
        <w:jc w:val="both"/>
        <w:rPr/>
      </w:pPr>
      <w:r>
        <w:rPr/>
      </w:r>
    </w:p>
    <w:p>
      <w:pPr>
        <w:pStyle w:val="BodyTextIndent"/>
        <w:ind w:hanging="0" w:end="0"/>
        <w:jc w:val="both"/>
        <w:rPr>
          <w:b/>
        </w:rPr>
      </w:pPr>
      <w:r>
        <w:rPr>
          <w:b/>
        </w:rPr>
      </w:r>
    </w:p>
    <w:p>
      <w:pPr>
        <w:pStyle w:val="BodyTextIndent"/>
        <w:numPr>
          <w:ilvl w:val="0"/>
          <w:numId w:val="7"/>
        </w:numPr>
        <w:tabs>
          <w:tab w:val="clear" w:pos="720"/>
          <w:tab w:val="left" w:pos="1080" w:leader="none"/>
        </w:tabs>
        <w:ind w:hanging="360" w:start="1080" w:end="0"/>
        <w:rPr/>
      </w:pPr>
      <w:r>
        <w:rPr>
          <w:b/>
        </w:rPr>
        <w:t>Measures of Industry Performance</w:t>
      </w:r>
    </w:p>
    <w:p>
      <w:pPr>
        <w:pStyle w:val="BodyTextIndent"/>
        <w:ind w:hanging="0" w:end="0"/>
        <w:rPr/>
      </w:pPr>
      <w:r>
        <w:rPr/>
      </w:r>
    </w:p>
    <w:p>
      <w:pPr>
        <w:pStyle w:val="BodyTextIndent"/>
        <w:ind w:hanging="0" w:end="0"/>
        <w:jc w:val="both"/>
        <w:rPr/>
      </w:pPr>
      <w:r>
        <w:rPr/>
        <w:t>There have been several notable changes in this regard.  As the geographic scope of gas buying and selling expanded to use trading points located across the national pipeline grid, gas prices at various locations became more closely linked together in a national market network, segregated only by market-driven location differentials.  This result has been noted in several post-deregulation studies concerning the integration of gas prices across the North American pipeline grid.</w:t>
      </w:r>
      <w:r>
        <w:rPr>
          <w:rStyle w:val="FootnoteCharacters"/>
          <w:rStyle w:val="FootnoteReference"/>
        </w:rPr>
        <w:footnoteReference w:id="33"/>
      </w:r>
      <w:r>
        <w:rPr/>
        <w:t xml:space="preserve">  </w:t>
      </w:r>
    </w:p>
    <w:p>
      <w:pPr>
        <w:pStyle w:val="BodyTextIndent"/>
        <w:rPr/>
      </w:pPr>
      <w:r>
        <w:rPr/>
      </w:r>
    </w:p>
    <w:p>
      <w:pPr>
        <w:pStyle w:val="BodyTextIndent"/>
        <w:ind w:hanging="0" w:end="0"/>
        <w:jc w:val="both"/>
        <w:rPr/>
      </w:pPr>
      <w:r>
        <w:rPr/>
        <w:t>In the end, the integration of gas prices nationally is the clearest indication that FERC succeeded in one of its frequently cited goals for the restructuring process--to make market signals drive decisions throughout the national pipeline grid.  While difficult to quantify, there are well-recognized benefits associated integrated prices.  Local buying and selling will reflect the supply and demand for natural gas along the entire pipeline grid; from a social standpoint, resource utilization will be optimized.</w:t>
      </w:r>
    </w:p>
    <w:p>
      <w:pPr>
        <w:pStyle w:val="BodyTextIndent"/>
        <w:rPr/>
      </w:pPr>
      <w:r>
        <w:rPr/>
      </w:r>
    </w:p>
    <w:p>
      <w:pPr>
        <w:pStyle w:val="BodyTextIndent"/>
        <w:ind w:hanging="0" w:end="0"/>
        <w:jc w:val="both"/>
        <w:rPr/>
      </w:pPr>
      <w:r>
        <w:rPr/>
        <w:t xml:space="preserve">A performance improvement expected from restructuring that removes at least some regulatory control is reduced costs associated with the regulatory system. That has certainly happened here as demonstrated in Figure 5. </w:t>
      </w:r>
    </w:p>
    <w:p>
      <w:pPr>
        <w:pStyle w:val="BodyTextIndent"/>
        <w:ind w:hanging="0" w:end="0"/>
        <w:rPr/>
      </w:pPr>
      <w:r>
        <w:rPr/>
      </w:r>
    </w:p>
    <w:p>
      <w:pPr>
        <w:pStyle w:val="BodyTextIndent"/>
        <w:ind w:hanging="0" w:end="0"/>
        <w:jc w:val="both"/>
        <w:rPr/>
      </w:pPr>
      <w:r>
        <w:rPr/>
        <w:t>The fact of savings in regulatory costs raises a broader question--has restructuring created competitive pressures that have reduced the overall price customers pay for wholesale services (the combination of transportation, storage, merchant aggregation and peak flexibility)?  Any effort to compare performance in this regard over time is complicated by the fact that--as described above--the nature of wholesale service has changed.</w:t>
      </w:r>
    </w:p>
    <w:p>
      <w:pPr>
        <w:pStyle w:val="BodyTextIndent"/>
        <w:rPr/>
      </w:pPr>
      <w:r>
        <w:rPr/>
      </w:r>
    </w:p>
    <w:p>
      <w:pPr>
        <w:pStyle w:val="BodyTextIndent"/>
        <w:ind w:hanging="0" w:end="0"/>
        <w:jc w:val="both"/>
        <w:rPr/>
      </w:pPr>
      <w:r>
        <w:rPr/>
        <w:t xml:space="preserve">Nonetheless, it is instructive to look at what has happened over time to the spread between the direct cost of the gas commodity as it enters the interstate pipeline system and the average delivered sale price for that same gas as it moves out of the system to LDC and other end-users.  Figure 6 displays this spread from 1984 through 1999.  While, there is not a distinct change-over in this margin that coincides with the critical dates in restructuring, there certainly appears to be evidence of declining margins that would result from competitive efficiencies. . However, it should be noted that because of restructuring, some O&amp;M costs were transferred (storage O&amp;M) to other players.  The O&amp;M costs will also show the effect of technological improvement (more efficient compressor engines, etc.) that would have resulted anyway.  It is difficult to draw a definitive conclusion from this that competition resulted in measurable efficiency gains. </w:t>
      </w:r>
    </w:p>
    <w:p>
      <w:pPr>
        <w:pStyle w:val="BodyTextIndent"/>
        <w:ind w:hanging="0" w:end="0"/>
        <w:jc w:val="both"/>
        <w:rPr/>
      </w:pPr>
      <w:r>
        <w:rPr/>
      </w:r>
    </w:p>
    <w:p>
      <w:pPr>
        <w:pStyle w:val="BodyTextIndent"/>
        <w:ind w:hanging="0" w:end="0"/>
        <w:jc w:val="both"/>
        <w:rPr/>
      </w:pPr>
      <w:r>
        <w:rPr/>
        <w:t>The other result that one would anticipate from the introduction of competition is increases in operational efficiencies.  The cost of Operating and Maintenance costs as a component of delivered gas volumes is shown in Figure 7, which shows the three years prior to restructuring contrasted with years after restructuring.  This appears to show that there were some efficiency gains.  Because of many of the same issues raised above about the comparability of the figures over time, it is difficult to make a firm conclusion about this trend clearly reflecting efficiency gains.</w:t>
      </w:r>
    </w:p>
    <w:p>
      <w:pPr>
        <w:pStyle w:val="BodyTextIndent"/>
        <w:ind w:hanging="0" w:end="0"/>
        <w:rPr/>
      </w:pPr>
      <w:r>
        <w:rPr/>
      </w:r>
    </w:p>
    <w:p>
      <w:pPr>
        <w:pStyle w:val="BodyTextIndent"/>
        <w:ind w:hanging="0" w:end="0"/>
        <w:rPr/>
      </w:pPr>
      <w:r>
        <w:rPr/>
      </w:r>
    </w:p>
    <w:p>
      <w:pPr>
        <w:pStyle w:val="Heading2"/>
        <w:numPr>
          <w:ilvl w:val="0"/>
          <w:numId w:val="9"/>
        </w:numPr>
        <w:rPr>
          <w:u w:val="none"/>
        </w:rPr>
      </w:pPr>
      <w:r>
        <w:rPr>
          <w:u w:val="none"/>
        </w:rPr>
        <w:t>Lessons From Gas Industry Restructuring</w:t>
      </w:r>
    </w:p>
    <w:p>
      <w:pPr>
        <w:pStyle w:val="BodyTextIndent"/>
        <w:rPr>
          <w:b/>
          <w:u w:val="none"/>
        </w:rPr>
      </w:pPr>
      <w:r>
        <w:rPr>
          <w:b/>
          <w:u w:val="none"/>
        </w:rPr>
      </w:r>
    </w:p>
    <w:p>
      <w:pPr>
        <w:pStyle w:val="BodyTextIndent"/>
        <w:numPr>
          <w:ilvl w:val="0"/>
          <w:numId w:val="5"/>
        </w:numPr>
        <w:tabs>
          <w:tab w:val="clear" w:pos="720"/>
          <w:tab w:val="left" w:pos="1080" w:leader="none"/>
        </w:tabs>
        <w:ind w:hanging="360" w:start="1080" w:end="0"/>
        <w:rPr>
          <w:b/>
        </w:rPr>
      </w:pPr>
      <w:r>
        <w:rPr>
          <w:b/>
        </w:rPr>
        <w:t>The Billions In Customer Savings Were Simply Stranded Costs</w:t>
      </w:r>
    </w:p>
    <w:p>
      <w:pPr>
        <w:pStyle w:val="BodyTextIndent"/>
        <w:ind w:hanging="0" w:start="720" w:end="0"/>
        <w:rPr>
          <w:b/>
        </w:rPr>
      </w:pPr>
      <w:r>
        <w:rPr>
          <w:b/>
        </w:rPr>
      </w:r>
    </w:p>
    <w:p>
      <w:pPr>
        <w:pStyle w:val="BodyTextIndent"/>
        <w:ind w:hanging="0" w:end="0"/>
        <w:jc w:val="both"/>
        <w:rPr/>
      </w:pPr>
      <w:r>
        <w:rPr/>
        <w:t>One cannot point to the decline in wholesale prices that occurred in the latter 1980s and early 1990s as a benefit associated with replacing regulation with competition.  Prices for natural gas and other forms of energy were falling generally during this time period because of a changing balance between market supply and demand.  And, while it is true that wholesale gas prices moved more quickly during this period to reflect those changes than the presence of long-term supply contracts would otherwise have permitted, this is not due to competition.  Rather, it is because suppliers absorbed stranded costs.  Other markets looking at restructuring and contemplating stranded cost recovery mechanisms--e.g. intending to have customers pay stranded costs--should not look to the drop in wholesale gas prices that occurred along with wholesale gas restructuring as indicative of the price benefits they might obtain.</w:t>
      </w:r>
    </w:p>
    <w:p>
      <w:pPr>
        <w:pStyle w:val="BodyTextIndent"/>
        <w:rPr/>
      </w:pPr>
      <w:r>
        <w:rPr/>
      </w:r>
    </w:p>
    <w:p>
      <w:pPr>
        <w:pStyle w:val="BodyTextIndent"/>
        <w:numPr>
          <w:ilvl w:val="0"/>
          <w:numId w:val="5"/>
        </w:numPr>
        <w:tabs>
          <w:tab w:val="clear" w:pos="720"/>
          <w:tab w:val="left" w:pos="1080" w:leader="none"/>
        </w:tabs>
        <w:ind w:hanging="360" w:start="1080" w:end="0"/>
        <w:rPr/>
      </w:pPr>
      <w:r>
        <w:rPr>
          <w:b/>
        </w:rPr>
        <w:t>The Shift In Business To Independent Marketers Was Caused By The Restructuring Process Not Relative Efficiencies</w:t>
      </w:r>
    </w:p>
    <w:p>
      <w:pPr>
        <w:pStyle w:val="BodyTextIndent"/>
        <w:ind w:hanging="0" w:start="720" w:end="0"/>
        <w:rPr/>
      </w:pPr>
      <w:r>
        <w:rPr/>
      </w:r>
    </w:p>
    <w:p>
      <w:pPr>
        <w:pStyle w:val="BodyTextIndent"/>
        <w:ind w:hanging="0" w:end="0"/>
        <w:jc w:val="both"/>
        <w:rPr/>
      </w:pPr>
      <w:r>
        <w:rPr/>
        <w:t xml:space="preserve">Furthermore, one should not take the wholesale gas industry experience to demonstrate that market forces unleashed by restructuring can be expected to displace incumbent utilities with an entirely new regime of independent competitors.  Yes, that is what happened in the wholesale gas merchant business.  However it happened because 1) the 10-year evolving process placed incumbents at a great competitive disadvantage; 2) the lack of a clearly stated (perhaps, nonexistent) restructuring plan led incumbents to be reactive rather than proactive; and 3) the last step in the process mandated exit on the part of incumbent utilities from the merchant process.  There is no reason to believe that these same features should be typical of other restructuring efforts. </w:t>
      </w:r>
    </w:p>
    <w:p>
      <w:pPr>
        <w:pStyle w:val="BodyTextIndent"/>
        <w:rPr/>
      </w:pPr>
      <w:r>
        <w:rPr/>
      </w:r>
    </w:p>
    <w:p>
      <w:pPr>
        <w:pStyle w:val="BodyTextIndent"/>
        <w:numPr>
          <w:ilvl w:val="0"/>
          <w:numId w:val="5"/>
        </w:numPr>
        <w:tabs>
          <w:tab w:val="clear" w:pos="720"/>
          <w:tab w:val="left" w:pos="1080" w:leader="none"/>
        </w:tabs>
        <w:ind w:hanging="360" w:start="1080" w:end="0"/>
        <w:rPr/>
      </w:pPr>
      <w:r>
        <w:rPr>
          <w:b/>
        </w:rPr>
        <w:t xml:space="preserve">Regulatory Rules Effectively Limited The Vertical Use of Market Power. </w:t>
      </w:r>
    </w:p>
    <w:p>
      <w:pPr>
        <w:pStyle w:val="BodyTextIndent"/>
        <w:ind w:hanging="0" w:start="720" w:end="0"/>
        <w:rPr>
          <w:rFonts w:eastAsia="Arial"/>
          <w:b/>
        </w:rPr>
      </w:pPr>
      <w:r>
        <w:rPr>
          <w:rFonts w:eastAsia="Arial"/>
          <w:b/>
        </w:rPr>
        <w:t xml:space="preserve"> </w:t>
      </w:r>
    </w:p>
    <w:p>
      <w:pPr>
        <w:pStyle w:val="BodyTextIndent"/>
        <w:ind w:hanging="0" w:end="0"/>
        <w:jc w:val="both"/>
        <w:rPr/>
      </w:pPr>
      <w:r>
        <w:rPr/>
        <w:t>Unregulated merchant activities can operate side-by-side with, and utilize,  regulated services on an open access basis.  This is true even if affiliates of the regulated service providers participate in the unregulated merchant business.  Several of the leading gas merchant service providers were (and are) sister companies to the country’s leading pipeline owner/operators.  Codes of conduct developed to promote arms-length activity among pipelines and their affiliated merchants have on the whole worked well in the wholesale gas business.  In order to promote competition on a level basis, it was not necessary to force divestiture of pipeline assets or prohibit affiliate participation in the merchant business.</w:t>
      </w:r>
    </w:p>
    <w:p>
      <w:pPr>
        <w:pStyle w:val="BodyTextIndent"/>
        <w:ind w:hanging="0" w:end="0"/>
        <w:rPr/>
      </w:pPr>
      <w:r>
        <w:rPr/>
      </w:r>
    </w:p>
    <w:p>
      <w:pPr>
        <w:pStyle w:val="BodyTextIndent"/>
        <w:numPr>
          <w:ilvl w:val="0"/>
          <w:numId w:val="5"/>
        </w:numPr>
        <w:tabs>
          <w:tab w:val="clear" w:pos="720"/>
          <w:tab w:val="left" w:pos="1080" w:leader="none"/>
        </w:tabs>
        <w:ind w:hanging="360" w:start="1080" w:end="0"/>
        <w:rPr/>
      </w:pPr>
      <w:r>
        <w:rPr>
          <w:b/>
        </w:rPr>
        <w:t xml:space="preserve">Bilateral Contracting Is All That Is Needed To Promote Well-Functioning Markets. </w:t>
      </w:r>
    </w:p>
    <w:p>
      <w:pPr>
        <w:pStyle w:val="BodyTextIndent"/>
        <w:ind w:hanging="0" w:start="720" w:end="0"/>
        <w:rPr/>
      </w:pPr>
      <w:r>
        <w:rPr/>
      </w:r>
    </w:p>
    <w:p>
      <w:pPr>
        <w:pStyle w:val="BodyTextIndent"/>
        <w:ind w:hanging="0" w:end="0"/>
        <w:jc w:val="both"/>
        <w:rPr/>
      </w:pPr>
      <w:r>
        <w:rPr/>
        <w:t xml:space="preserve">FERC took no initiatives in this process to specifically create gas exchanges, mandate participation by utilities in certain kinds of transactions or otherwise directly engineer the development of unregulated wholesale gas markets.  Yet, as noted above, well-functioning highly visible markets developed for gas, transportation, storage, futures and various types of risk hand in hand with the restructuring process.  </w:t>
      </w:r>
    </w:p>
    <w:p>
      <w:pPr>
        <w:pStyle w:val="BodyTextIndent"/>
        <w:ind w:hanging="0" w:end="0"/>
        <w:jc w:val="both"/>
        <w:rPr/>
      </w:pPr>
      <w:r>
        <w:rPr/>
      </w:r>
    </w:p>
    <w:p>
      <w:pPr>
        <w:pStyle w:val="BodyTextIndent"/>
        <w:ind w:hanging="0" w:end="0"/>
        <w:jc w:val="both"/>
        <w:rPr/>
      </w:pPr>
      <w:r>
        <w:rPr/>
        <w:t>What FERC did strive to do at each juncture was remove regulatory impediments it perceived to the willingness of gas pipelines their customers and interested third-party participants to contract with one another directly.  FERC also created strong incentives to contract bilaterally by leaving the issue of responsibility for contract liabilities associated with the regulated merchant business unresolved.  For wholesale customers, bilateral contracts with unregulated suppliers provided the means to defer--and perhaps avoid altogether--those liabilities.  State and local regulatory commissions overseeing their purchase decisions on behalf of ultimate gas users, let it be known that failure to utilize this opportunity would be at shareholder’s expense, not consumers.</w:t>
      </w:r>
    </w:p>
    <w:p>
      <w:pPr>
        <w:pStyle w:val="BodyTextIndent"/>
        <w:rPr/>
      </w:pPr>
      <w:r>
        <w:rPr/>
      </w:r>
    </w:p>
    <w:p>
      <w:pPr>
        <w:pStyle w:val="BodyTextIndent"/>
        <w:ind w:hanging="0" w:end="0"/>
        <w:jc w:val="both"/>
        <w:rPr/>
      </w:pPr>
      <w:r>
        <w:rPr/>
        <w:t xml:space="preserve">As industry participants turned to bilateral contracts, the potential benefits associated with organized markets became apparent. And, that was all that was needed to make such markets a reality.  Industry publications jumped into the business of gathering and reporting price information.  Gas buyers and sellers seized upon the reported prices as reference points for negotiation and contracting, which further fueled efforts to improve the coverage and accuracy of those reports. </w:t>
      </w:r>
    </w:p>
    <w:p>
      <w:pPr>
        <w:pStyle w:val="BodyTextIndent"/>
        <w:ind w:hanging="0" w:end="0"/>
        <w:jc w:val="both"/>
        <w:rPr/>
      </w:pPr>
      <w:r>
        <w:rPr/>
      </w:r>
    </w:p>
    <w:p>
      <w:pPr>
        <w:pStyle w:val="BodyTextIndent"/>
        <w:ind w:hanging="0" w:end="0"/>
        <w:jc w:val="both"/>
        <w:rPr/>
      </w:pPr>
      <w:r>
        <w:rPr/>
        <w:t>The development of trading in gas futures and products to trade in geographic differentials across producing basins and market areas was then a simple step away.  Once you had market prices, the demand for products to trade over time and across locations son followed.</w:t>
      </w:r>
    </w:p>
    <w:p>
      <w:pPr>
        <w:pStyle w:val="BodyTextIndent"/>
        <w:rPr/>
      </w:pPr>
      <w:r>
        <w:rPr/>
      </w:r>
    </w:p>
    <w:p>
      <w:pPr>
        <w:pStyle w:val="BodyTextIndent"/>
        <w:numPr>
          <w:ilvl w:val="0"/>
          <w:numId w:val="6"/>
        </w:numPr>
        <w:tabs>
          <w:tab w:val="clear" w:pos="720"/>
          <w:tab w:val="left" w:pos="1080" w:leader="none"/>
        </w:tabs>
        <w:ind w:hanging="360" w:start="1080" w:end="0"/>
        <w:rPr/>
      </w:pPr>
      <w:r>
        <w:rPr>
          <w:b/>
        </w:rPr>
        <w:t>In the Course of Restructuring, Congestion Pricing Was Not An Issue.</w:t>
      </w:r>
    </w:p>
    <w:p>
      <w:pPr>
        <w:pStyle w:val="BodyTextIndent"/>
        <w:ind w:hanging="0" w:start="720" w:end="0"/>
        <w:rPr>
          <w:rFonts w:eastAsia="Arial"/>
          <w:b/>
        </w:rPr>
      </w:pPr>
      <w:r>
        <w:rPr>
          <w:rFonts w:eastAsia="Arial"/>
          <w:b/>
        </w:rPr>
        <w:t xml:space="preserve"> </w:t>
      </w:r>
    </w:p>
    <w:p>
      <w:pPr>
        <w:pStyle w:val="BodyTextIndent"/>
        <w:ind w:hanging="0" w:end="0"/>
        <w:jc w:val="both"/>
        <w:rPr/>
      </w:pPr>
      <w:r>
        <w:rPr/>
        <w:t>A form of congestion pricing was implicit in the open access regime originally instituted under Order 436.  The self-implementing service authorized under Order 436 was interruptible transportation service.  Firm transportation service remained the exclusive domain of the pipelines (and certain other shippers who pursued the lengthy process needed to obtain the regulatory certificate needed for a firm service contract.)  Firm service rates were established at the regulation-based cost-of-service level.  Interruptible rates set through bilateral negotiation were allowed to float between the firm cost-of-service maximum rate and the incremental cost of providing interruptible service.</w:t>
      </w:r>
      <w:r>
        <w:rPr>
          <w:rStyle w:val="FootnoteCharacters"/>
          <w:rStyle w:val="FootnoteReference"/>
        </w:rPr>
        <w:footnoteReference w:id="34"/>
      </w:r>
      <w:r>
        <w:rPr/>
        <w:t xml:space="preserve">  In some sense then, market payment for the ability to reserve space was implicit in the discount between firm and interruptible rates.</w:t>
      </w:r>
    </w:p>
    <w:p>
      <w:pPr>
        <w:pStyle w:val="BodyTextIndent"/>
        <w:rPr/>
      </w:pPr>
      <w:r>
        <w:rPr/>
      </w:r>
    </w:p>
    <w:p>
      <w:pPr>
        <w:pStyle w:val="BodyTextIndent"/>
        <w:ind w:hanging="0" w:end="0"/>
        <w:jc w:val="both"/>
        <w:rPr/>
      </w:pPr>
      <w:r>
        <w:rPr/>
        <w:t>However, because firm rates were capped at cost-of-service levels, the true market value of congested capacity on a peak-day was not reflected in rates. Capacity allocation was accomplished instead, at least in the initial phases of restructuring, through pipelines’ ability to reserve their capacity to meet their own merchant service obligations.  In this way, the pipeline merchant service remained an essential peak-day backstop for most customers.</w:t>
      </w:r>
    </w:p>
    <w:p>
      <w:pPr>
        <w:pStyle w:val="BodyTextIndent"/>
        <w:rPr/>
      </w:pPr>
      <w:r>
        <w:rPr/>
      </w:r>
    </w:p>
    <w:p>
      <w:pPr>
        <w:pStyle w:val="BodyTextIndent"/>
        <w:ind w:hanging="0" w:end="0"/>
        <w:jc w:val="both"/>
        <w:rPr/>
      </w:pPr>
      <w:r>
        <w:rPr/>
        <w:t xml:space="preserve">When FERC forced pipelines out of the merchant business through Order 636, their former merchant customers retained rights to peak day delivery capability. Hence, the allocation of rights to firm transportation service remained largely a regulatory matter, not a market issue.  And, there was little role for congestion pricing. </w:t>
      </w:r>
    </w:p>
    <w:p>
      <w:pPr>
        <w:pStyle w:val="BodyTextIndent"/>
        <w:rPr/>
      </w:pPr>
      <w:r>
        <w:rPr/>
      </w:r>
    </w:p>
    <w:p>
      <w:pPr>
        <w:pStyle w:val="BodyTextIndent"/>
        <w:ind w:hanging="0" w:end="0"/>
        <w:jc w:val="both"/>
        <w:rPr/>
      </w:pPr>
      <w:r>
        <w:rPr/>
        <w:t>Late in this process, FERC facilitated the development of active markets in transportation service by requiring pipelines to use electronic bulletin boards for listing available service and bids from prospective shippers.  These listings included interruptible service as well as the right, for some specified time period, to use an existing shipper’s firm transportation rights.  In this way, markets began to develop even for firm capacity.  Initially, FERC limited prices for re-trading in pipeline service to the maximum allowable tariff rates based upon costs of service.  Consequently, the market was still limited in the role it might play in allocating congested capacity,</w:t>
      </w:r>
    </w:p>
    <w:p>
      <w:pPr>
        <w:pStyle w:val="BodyTextIndent"/>
        <w:ind w:hanging="0" w:end="0"/>
        <w:jc w:val="both"/>
        <w:rPr/>
      </w:pPr>
      <w:r>
        <w:rPr/>
      </w:r>
    </w:p>
    <w:p>
      <w:pPr>
        <w:pStyle w:val="BodyTextIndent"/>
        <w:ind w:hanging="0" w:end="0"/>
        <w:jc w:val="both"/>
        <w:rPr/>
      </w:pPr>
      <w:r>
        <w:rPr/>
        <w:t>Today, that has changed.  As a result of Order 637</w:t>
      </w:r>
      <w:r>
        <w:rPr>
          <w:rStyle w:val="FootnoteCharacters"/>
          <w:rStyle w:val="FootnoteReference"/>
        </w:rPr>
        <w:footnoteReference w:id="35"/>
      </w:r>
      <w:r>
        <w:rPr/>
        <w:t xml:space="preserve">, prices for re-traded rights to use pipeline capacity are no longer limited to maximum tariff rates (for terms of up to two years).  Capacity is free to move back and forth among shippers based at whatever rate the market will bear.  California saw the effects of true congestion pricing firsthand this last winter when prices for gas delivered to the California border reflected congestion-based opportunity costs of over $40.00 per mmbtu.  </w:t>
      </w:r>
    </w:p>
    <w:p>
      <w:pPr>
        <w:pStyle w:val="BodyTextIndent"/>
        <w:ind w:hanging="0" w:end="0"/>
        <w:jc w:val="both"/>
        <w:rPr/>
      </w:pPr>
      <w:r>
        <w:rPr/>
      </w:r>
    </w:p>
    <w:p>
      <w:pPr>
        <w:pStyle w:val="BodyTextIndent"/>
        <w:ind w:hanging="0" w:end="0"/>
        <w:jc w:val="both"/>
        <w:rPr/>
      </w:pPr>
      <w:r>
        <w:rPr/>
        <w:t>As with other aspects of market development in the wholesale gas industry, FERC in the end had to do little more than remove the obstacles to market operation.  Once it permitted market-based re-trading of firm transportation rights and lifted regulatory ceilings on the resulting transactions, market forces quickly stepped in to price congestion.</w:t>
      </w:r>
      <w:r>
        <w:rPr>
          <w:rStyle w:val="FootnoteCharacters"/>
          <w:rStyle w:val="FootnoteReference"/>
        </w:rPr>
        <w:footnoteReference w:id="36"/>
      </w:r>
      <w:r>
        <w:rPr/>
        <w:t xml:space="preserve">    </w:t>
      </w:r>
    </w:p>
    <w:p>
      <w:pPr>
        <w:pStyle w:val="BodyTextIndent"/>
        <w:ind w:hanging="0" w:end="0"/>
        <w:rPr/>
      </w:pPr>
      <w:r>
        <w:rPr/>
      </w:r>
    </w:p>
    <w:p>
      <w:pPr>
        <w:pStyle w:val="BodyTextIndent"/>
        <w:numPr>
          <w:ilvl w:val="0"/>
          <w:numId w:val="6"/>
        </w:numPr>
        <w:tabs>
          <w:tab w:val="clear" w:pos="720"/>
          <w:tab w:val="left" w:pos="1080" w:leader="none"/>
        </w:tabs>
        <w:ind w:hanging="360" w:start="1080" w:end="0"/>
        <w:rPr/>
      </w:pPr>
      <w:r>
        <w:rPr>
          <w:b/>
        </w:rPr>
        <w:t>Restructuring Has Lowered Costs</w:t>
      </w:r>
    </w:p>
    <w:p>
      <w:pPr>
        <w:pStyle w:val="BodyTextIndent"/>
        <w:ind w:hanging="0" w:start="720" w:end="0"/>
        <w:rPr/>
      </w:pPr>
      <w:r>
        <w:rPr/>
      </w:r>
    </w:p>
    <w:p>
      <w:pPr>
        <w:pStyle w:val="BodyTextIndent"/>
        <w:ind w:hanging="0" w:end="0"/>
        <w:jc w:val="both"/>
        <w:rPr/>
      </w:pPr>
      <w:r>
        <w:rPr/>
        <w:t>Restructuring has led to lower costs. As descried above, regulatory compliance costs have been substantially reduced.  Moreover, the decline in wholesale margins implies more generalized cost savings, perhaps as a result of improved efficiencies wrung from the system by competition.  However, it is also clear that the ten-year restructuring process had a hefty price tag.  The regulatory process consumed substantial resources itself.  However, those direct costs may well pale in comparison with the costs of litigation, management diversion and staff displacement and re-training that were also an important part of the process.  No one can say today whether the savings achieved through the process outweigh the costs created by the process itself.</w:t>
      </w:r>
    </w:p>
    <w:p>
      <w:pPr>
        <w:pStyle w:val="BodyTextIndent"/>
        <w:rPr/>
      </w:pPr>
      <w:r>
        <w:rPr/>
      </w:r>
    </w:p>
    <w:p>
      <w:pPr>
        <w:pStyle w:val="BodyTextIndent"/>
        <w:numPr>
          <w:ilvl w:val="0"/>
          <w:numId w:val="6"/>
        </w:numPr>
        <w:tabs>
          <w:tab w:val="clear" w:pos="720"/>
          <w:tab w:val="left" w:pos="1080" w:leader="none"/>
        </w:tabs>
        <w:ind w:hanging="360" w:start="1080" w:end="0"/>
        <w:rPr/>
      </w:pPr>
      <w:r>
        <w:rPr>
          <w:b/>
        </w:rPr>
        <w:t>The Main Benefits To Restructuring Have Been Expanded Services, Choices and Innovation</w:t>
      </w:r>
    </w:p>
    <w:p>
      <w:pPr>
        <w:pStyle w:val="BodyTextIndent"/>
        <w:ind w:hanging="0" w:end="0"/>
        <w:rPr/>
      </w:pPr>
      <w:r>
        <w:rPr/>
      </w:r>
    </w:p>
    <w:p>
      <w:pPr>
        <w:pStyle w:val="BodyTextIndent"/>
        <w:ind w:hanging="0" w:end="0"/>
        <w:rPr/>
      </w:pPr>
      <w:r>
        <w:rPr/>
        <w:t>The most striking changes brought about by restructuring in gas wholesale markets</w:t>
      </w:r>
      <w:r>
        <w:rPr>
          <w:b/>
        </w:rPr>
        <w:t xml:space="preserve"> </w:t>
      </w:r>
      <w:r>
        <w:rPr/>
        <w:t>are variety in product offerings and supply alternatives.  Wholesale customers today can enter into delivered supply arrangements from a large variety of potential suppliers incorporating a full spectrum of choices about flexibility and risk. In addition, customers can self-design a delivery service by contracting separately for commodity, storage and transportation.</w:t>
      </w:r>
    </w:p>
    <w:p>
      <w:pPr>
        <w:pStyle w:val="BodyTextIndent"/>
        <w:ind w:hanging="0" w:end="0"/>
        <w:rPr/>
      </w:pPr>
      <w:r>
        <w:rPr/>
      </w:r>
    </w:p>
    <w:p>
      <w:pPr>
        <w:pStyle w:val="BodyTextIndent"/>
        <w:ind w:hanging="0" w:end="0"/>
        <w:jc w:val="both"/>
        <w:rPr/>
      </w:pPr>
      <w:r>
        <w:rPr/>
        <w:t xml:space="preserve">It is also clear that restructuring has created an integrated national gas market in which market signals emanating from buyers and sellers throughout the country are passed along the entire grid.  Efficiency in the use of the resource has no doubt improved.  Here again, the welfare benefits are difficult to assess.   This is true, in part, because the benefits of competition, although easy to describe in concept, are in general difficult to measure.  </w:t>
      </w:r>
    </w:p>
    <w:p>
      <w:pPr>
        <w:pStyle w:val="BodyTextIndent"/>
        <w:ind w:hanging="0" w:end="0"/>
        <w:jc w:val="both"/>
        <w:rPr/>
      </w:pPr>
      <w:r>
        <w:rPr/>
      </w:r>
    </w:p>
    <w:p>
      <w:pPr>
        <w:pStyle w:val="BodyTextIndent"/>
        <w:ind w:hanging="0" w:end="0"/>
        <w:jc w:val="both"/>
        <w:rPr/>
      </w:pPr>
      <w:r>
        <w:rPr/>
        <w:t xml:space="preserve">Ultimately, the most important lesson to be learned from the wholesale gas experience is that we cannot expect to tabulate a cost/benefits scorecard associated with the effort.  One starts with the philosophical/theoretical belief that the invisible hand of competition provides better decisions than any centralized effort at regulation. One can observe the symptoms of competition at work--e.g., new entry, new product innovation, expanded choice, etc.--and assess the degree to which restructuring has created competition.  Restructuring in the wholesale gas industry has clearly been successful in this regard.  </w:t>
      </w:r>
    </w:p>
    <w:p>
      <w:pPr>
        <w:pStyle w:val="BodyTextIndent"/>
        <w:ind w:hanging="0" w:end="0"/>
        <w:jc w:val="both"/>
        <w:rPr/>
      </w:pPr>
      <w:r>
        <w:rPr/>
      </w:r>
    </w:p>
    <w:p>
      <w:pPr>
        <w:pStyle w:val="BodyTextIndent"/>
        <w:ind w:hanging="0" w:end="0"/>
        <w:jc w:val="both"/>
        <w:rPr/>
      </w:pPr>
      <w:r>
        <w:rPr/>
        <w:t xml:space="preserve">Furthermore, one can, after the fact, learn some lessons about how to modify the process of restructuring so as to change the pace at which competition develops and various wealth effects on winners and losers along the way.  The regulatory inaction with respect to stranded costs provides a good case in point with respect to the wholesale gas experience.  However, when all is said and done, the theoretical benefits associated with competition don’t assume concrete proportions as competition becomes a reality.  The benefits certainly exist and we can observe market behavior that reflects their operation.  We just can’t measure them.  The best we can say about restructuring in the wholesale gas business, as a result, is that it accomplished its objective.      </w:t>
      </w:r>
    </w:p>
    <w:p>
      <w:pPr>
        <w:pStyle w:val="BodyTextIndent"/>
        <w:rPr/>
      </w:pPr>
      <w:r>
        <w:rPr/>
      </w:r>
    </w:p>
    <w:p>
      <w:pPr>
        <w:pStyle w:val="BodyTextIndent"/>
        <w:rPr>
          <w:rFonts w:eastAsia="Arial"/>
        </w:rPr>
      </w:pPr>
      <w:r>
        <w:rPr>
          <w:rFonts w:eastAsia="Arial"/>
        </w:rPr>
        <w:t xml:space="preserve"> </w:t>
      </w:r>
    </w:p>
    <w:p>
      <w:pPr>
        <w:pStyle w:val="BodyTextIndent"/>
        <w:rPr>
          <w:rFonts w:eastAsia="Arial"/>
        </w:rPr>
      </w:pPr>
      <w:r>
        <w:rPr>
          <w:rFonts w:eastAsia="Arial"/>
        </w:rPr>
        <w:t xml:space="preserve">    </w:t>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8">
              <wp:simplePos x="0" y="0"/>
              <wp:positionH relativeFrom="margin">
                <wp:align>right</wp:align>
              </wp:positionH>
              <wp:positionV relativeFrom="paragraph">
                <wp:posOffset>635</wp:posOffset>
              </wp:positionV>
              <wp:extent cx="141605"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28</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420.85pt;mso-position-horizontal:right;mso-position-horizontal-relative:margin">
              <v:fill opacity="0f"/>
              <v:textbox inset="0in,0in,0in,0in">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28</w:t>
                    </w:r>
                    <w:r>
                      <w:rPr>
                        <w:rStyle w:val="PageNumber"/>
                        <w:rFonts w:cs="Arial" w:ascii="Arial" w:hAnsi="Arial"/>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rFonts w:cs="Arial" w:ascii="Arial" w:hAnsi="Arial"/>
        </w:rPr>
        <w:t xml:space="preserve"> “</w:t>
      </w:r>
      <w:r>
        <w:rPr>
          <w:rFonts w:cs="Arial" w:ascii="Arial" w:hAnsi="Arial"/>
        </w:rPr>
        <w:t xml:space="preserve">Optimized” either as a matter of ultimate reserve recovery, well maintenance costs or the risk-adjusted present value of the producer’s revenue. </w:t>
      </w:r>
    </w:p>
  </w:footnote>
  <w:footnote w:id="3">
    <w:p>
      <w:pPr>
        <w:pStyle w:val="FootnoteText"/>
        <w:jc w:val="both"/>
        <w:rPr/>
      </w:pPr>
      <w:r>
        <w:rPr>
          <w:rStyle w:val="FootnoteCharacters"/>
        </w:rPr>
        <w:footnoteRef/>
      </w:r>
      <w:r>
        <w:rPr>
          <w:rFonts w:cs="Arial" w:ascii="Arial" w:hAnsi="Arial"/>
        </w:rPr>
        <w:t xml:space="preserve"> </w:t>
      </w:r>
      <w:r>
        <w:rPr>
          <w:rFonts w:cs="Arial" w:ascii="Arial" w:hAnsi="Arial"/>
          <w:i/>
        </w:rPr>
        <w:t>The Value of Underground Storage in Today’s Natural Gas Industry,</w:t>
      </w:r>
      <w:r>
        <w:rPr>
          <w:rFonts w:cs="Arial" w:ascii="Arial" w:hAnsi="Arial"/>
        </w:rPr>
        <w:t xml:space="preserve"> Energy Information Administration, (March 1995), p. 26.</w:t>
      </w:r>
      <w:r>
        <w:rPr/>
        <w:t xml:space="preserve"> </w:t>
      </w:r>
    </w:p>
  </w:footnote>
  <w:footnote w:id="4">
    <w:p>
      <w:pPr>
        <w:pStyle w:val="FootnoteText"/>
        <w:jc w:val="both"/>
        <w:rPr/>
      </w:pPr>
      <w:r>
        <w:rPr>
          <w:rStyle w:val="FootnoteCharacters"/>
        </w:rPr>
        <w:footnoteRef/>
      </w:r>
      <w:r>
        <w:rPr>
          <w:rFonts w:cs="Arial" w:ascii="Arial" w:hAnsi="Arial"/>
        </w:rPr>
        <w:t xml:space="preserve"> </w:t>
      </w:r>
      <w:r>
        <w:rPr>
          <w:rFonts w:cs="Arial" w:ascii="Arial" w:hAnsi="Arial"/>
        </w:rPr>
        <w:t xml:space="preserve">Benjamin Klein, Robert G. Crawford and Armen A. Alchian, “Vertical Integration, Appropriable Rents, and the Competitive Contracting Process” </w:t>
      </w:r>
      <w:r>
        <w:rPr>
          <w:rFonts w:cs="Arial" w:ascii="Arial" w:hAnsi="Arial"/>
          <w:u w:val="single"/>
        </w:rPr>
        <w:t>The Legacy of Ronald Coase in economic analysis</w:t>
      </w:r>
      <w:r>
        <w:rPr>
          <w:rFonts w:cs="Arial" w:ascii="Arial" w:hAnsi="Arial"/>
        </w:rPr>
        <w:t>, (1995), 100-129.</w:t>
      </w:r>
    </w:p>
  </w:footnote>
  <w:footnote w:id="5">
    <w:p>
      <w:pPr>
        <w:pStyle w:val="FootnoteText"/>
        <w:jc w:val="both"/>
        <w:rPr/>
      </w:pPr>
      <w:r>
        <w:rPr>
          <w:rStyle w:val="FootnoteCharacters"/>
        </w:rPr>
        <w:footnoteRef/>
      </w:r>
      <w:r>
        <w:rPr>
          <w:rFonts w:cs="Arial" w:ascii="Arial" w:hAnsi="Arial"/>
        </w:rPr>
        <w:t xml:space="preserve"> </w:t>
      </w:r>
      <w:r>
        <w:rPr>
          <w:rFonts w:cs="Arial" w:ascii="Arial" w:hAnsi="Arial"/>
        </w:rPr>
        <w:t>15 U.S.C. Sec. 3301, (Natural Gas Policy Act, 1978).</w:t>
      </w:r>
    </w:p>
  </w:footnote>
  <w:footnote w:id="6">
    <w:p>
      <w:pPr>
        <w:pStyle w:val="FootnoteText"/>
        <w:jc w:val="both"/>
        <w:rPr/>
      </w:pPr>
      <w:r>
        <w:rPr>
          <w:rStyle w:val="FootnoteCharacters"/>
        </w:rPr>
        <w:footnoteRef/>
      </w:r>
      <w:r>
        <w:rPr>
          <w:rFonts w:cs="Arial" w:ascii="Arial" w:hAnsi="Arial"/>
        </w:rPr>
        <w:t xml:space="preserve"> </w:t>
      </w:r>
      <w:r>
        <w:rPr>
          <w:rFonts w:cs="Arial" w:ascii="Arial" w:hAnsi="Arial"/>
        </w:rPr>
        <w:t>For example in 1982, Section 107 gas, which covered deep gas (below 15,000 foot), tight sand gas and several other categories, was priced at $8.87 per mcf. (</w:t>
      </w:r>
      <w:r>
        <w:rPr>
          <w:rFonts w:cs="Arial" w:ascii="Arial" w:hAnsi="Arial"/>
          <w:i/>
        </w:rPr>
        <w:t>Wellhead Purchases by Interstate Natural Gas Pipeline Companies</w:t>
      </w:r>
      <w:r>
        <w:rPr>
          <w:rFonts w:cs="Arial" w:ascii="Arial" w:hAnsi="Arial"/>
        </w:rPr>
        <w:t>, Energy Information Administration, (1988), Table 7).</w:t>
      </w:r>
    </w:p>
  </w:footnote>
  <w:footnote w:id="7">
    <w:p>
      <w:pPr>
        <w:pStyle w:val="FootnoteText"/>
        <w:jc w:val="both"/>
        <w:rPr/>
      </w:pPr>
      <w:r>
        <w:rPr>
          <w:rStyle w:val="FootnoteCharacters"/>
        </w:rPr>
        <w:footnoteRef/>
      </w:r>
      <w:r>
        <w:rPr>
          <w:rFonts w:cs="Arial" w:ascii="Arial" w:hAnsi="Arial"/>
        </w:rPr>
        <w:t xml:space="preserve"> </w:t>
      </w:r>
      <w:r>
        <w:rPr>
          <w:rFonts w:cs="Arial" w:ascii="Arial" w:hAnsi="Arial"/>
        </w:rPr>
        <w:t>It is also important to recognize that since pipelines sold all of the gas, from a competitive standpoint they only needed to be concerned with the average price of gas.  Since the pipelines had access to a lot of low priced price controlled “old” gas, the cost of the new supplies was partially offset.</w:t>
      </w:r>
    </w:p>
  </w:footnote>
  <w:footnote w:id="8">
    <w:p>
      <w:pPr>
        <w:pStyle w:val="FootnoteText"/>
        <w:jc w:val="both"/>
        <w:rPr/>
      </w:pPr>
      <w:r>
        <w:rPr>
          <w:rStyle w:val="FootnoteCharacters"/>
        </w:rPr>
        <w:footnoteRef/>
      </w:r>
      <w:r>
        <w:rPr>
          <w:rFonts w:cs="Arial" w:ascii="Arial" w:hAnsi="Arial"/>
        </w:rPr>
        <w:t xml:space="preserve"> </w:t>
      </w:r>
      <w:r>
        <w:rPr>
          <w:rFonts w:cs="Arial" w:ascii="Arial" w:hAnsi="Arial"/>
          <w:i/>
        </w:rPr>
        <w:t>Wellhead Purchases by Interstate Natural Gas Pipeline Companies</w:t>
      </w:r>
      <w:r>
        <w:rPr>
          <w:rFonts w:cs="Arial" w:ascii="Arial" w:hAnsi="Arial"/>
        </w:rPr>
        <w:t>, Energy Information Administration, (1988), Table 7.</w:t>
      </w:r>
    </w:p>
  </w:footnote>
  <w:footnote w:id="9">
    <w:p>
      <w:pPr>
        <w:pStyle w:val="FootnoteText"/>
        <w:jc w:val="both"/>
        <w:rPr/>
      </w:pPr>
      <w:r>
        <w:rPr>
          <w:rStyle w:val="FootnoteCharacters"/>
        </w:rPr>
        <w:footnoteRef/>
      </w:r>
      <w:r>
        <w:rPr>
          <w:rFonts w:cs="Arial" w:ascii="Arial" w:hAnsi="Arial"/>
        </w:rPr>
        <w:t xml:space="preserve"> </w:t>
      </w:r>
      <w:r>
        <w:rPr>
          <w:rFonts w:cs="Arial" w:ascii="Arial" w:hAnsi="Arial"/>
        </w:rPr>
        <w:t>Sales of natural gas to Industrial Customers declined by 1.5 trillion cubic feet, or over 20%, between 1981 and 1983. (“Natural Gas Consumption in the United States, 1930-1999"</w:t>
      </w:r>
      <w:r>
        <w:rPr>
          <w:rFonts w:cs="Arial" w:ascii="Arial" w:hAnsi="Arial"/>
          <w:i/>
        </w:rPr>
        <w:t>, Historical Natural Gas Annual 1930 through</w:t>
      </w:r>
      <w:r>
        <w:rPr>
          <w:rFonts w:cs="Arial" w:ascii="Arial" w:hAnsi="Arial"/>
        </w:rPr>
        <w:t xml:space="preserve"> </w:t>
      </w:r>
      <w:r>
        <w:rPr>
          <w:rFonts w:cs="Arial" w:ascii="Arial" w:hAnsi="Arial"/>
          <w:i/>
        </w:rPr>
        <w:t>1999</w:t>
      </w:r>
      <w:r>
        <w:rPr>
          <w:rFonts w:cs="Arial" w:ascii="Arial" w:hAnsi="Arial"/>
        </w:rPr>
        <w:t>, Energy Information Administration.)</w:t>
      </w:r>
    </w:p>
  </w:footnote>
  <w:footnote w:id="10">
    <w:p>
      <w:pPr>
        <w:pStyle w:val="FootnoteText"/>
        <w:jc w:val="both"/>
        <w:rPr/>
      </w:pPr>
      <w:r>
        <w:rPr>
          <w:rStyle w:val="FootnoteCharacters"/>
        </w:rPr>
        <w:footnoteRef/>
      </w:r>
      <w:r>
        <w:rPr>
          <w:rFonts w:cs="Arial" w:ascii="Arial" w:hAnsi="Arial"/>
        </w:rPr>
        <w:t xml:space="preserve"> </w:t>
      </w:r>
      <w:r>
        <w:rPr>
          <w:rFonts w:cs="Arial" w:ascii="Arial" w:hAnsi="Arial"/>
        </w:rPr>
        <w:t>Maryland People’s Counsel v. Federal Energy Regulatory Commission, 761 F. 2d 780 (D.C. Circuit, 1985); and Maryland People’s Counsel v. Federal Energy Regulatory Commission, 768 F. 2d 450 (D.C. Circuit, 1985).</w:t>
      </w:r>
    </w:p>
  </w:footnote>
  <w:footnote w:id="11">
    <w:p>
      <w:pPr>
        <w:pStyle w:val="FootnoteText"/>
        <w:jc w:val="both"/>
        <w:rPr/>
      </w:pPr>
      <w:r>
        <w:rPr>
          <w:rStyle w:val="FootnoteCharacters"/>
        </w:rPr>
        <w:footnoteRef/>
      </w:r>
      <w:r>
        <w:rPr>
          <w:rFonts w:cs="Arial" w:ascii="Arial" w:hAnsi="Arial"/>
        </w:rPr>
        <w:t xml:space="preserve"> </w:t>
      </w:r>
      <w:r>
        <w:rPr>
          <w:rFonts w:cs="Arial" w:ascii="Arial" w:hAnsi="Arial"/>
          <w:lang w:eastAsia="en-US"/>
        </w:rPr>
        <w:t xml:space="preserve">Peter A. Holmes, "The Implosion at Columbia Gas" </w:t>
      </w:r>
      <w:r>
        <w:rPr>
          <w:rFonts w:cs="Arial" w:ascii="Arial" w:hAnsi="Arial"/>
          <w:u w:val="single"/>
          <w:lang w:eastAsia="en-US"/>
        </w:rPr>
        <w:t>Fortune</w:t>
      </w:r>
      <w:r>
        <w:rPr>
          <w:rFonts w:cs="Arial" w:ascii="Arial" w:hAnsi="Arial"/>
          <w:lang w:eastAsia="en-US"/>
        </w:rPr>
        <w:t xml:space="preserve"> (May 2, 1983): p. 185.</w:t>
      </w:r>
    </w:p>
  </w:footnote>
  <w:footnote w:id="12">
    <w:p>
      <w:pPr>
        <w:pStyle w:val="FootnoteText"/>
        <w:jc w:val="both"/>
        <w:rPr/>
      </w:pPr>
      <w:r>
        <w:rPr>
          <w:rStyle w:val="FootnoteCharacters"/>
        </w:rPr>
        <w:footnoteRef/>
      </w:r>
      <w:r>
        <w:rPr>
          <w:rFonts w:cs="Arial" w:ascii="Arial" w:hAnsi="Arial"/>
        </w:rPr>
        <w:t xml:space="preserve"> </w:t>
      </w:r>
      <w:r>
        <w:rPr>
          <w:rFonts w:cs="Arial" w:ascii="Arial" w:hAnsi="Arial"/>
        </w:rPr>
        <w:t xml:space="preserve">Elimination of Variable Costs from Certain Natural Gas Pipeline Minimum Bill Provisions, Order 380, </w:t>
      </w:r>
      <w:r>
        <w:rPr>
          <w:rFonts w:cs="Arial" w:ascii="Arial" w:hAnsi="Arial"/>
          <w:i/>
        </w:rPr>
        <w:t>49 Federal Register 2277</w:t>
      </w:r>
      <w:r>
        <w:rPr>
          <w:rFonts w:cs="Arial" w:ascii="Arial" w:hAnsi="Arial"/>
        </w:rPr>
        <w:t xml:space="preserve"> (June 1, 1984).</w:t>
      </w:r>
    </w:p>
  </w:footnote>
  <w:footnote w:id="13">
    <w:p>
      <w:pPr>
        <w:pStyle w:val="FootnoteText"/>
        <w:jc w:val="both"/>
        <w:rPr/>
      </w:pPr>
      <w:r>
        <w:rPr>
          <w:rStyle w:val="FootnoteCharacters"/>
        </w:rPr>
        <w:footnoteRef/>
      </w:r>
      <w:r>
        <w:rPr>
          <w:rFonts w:cs="Arial" w:ascii="Arial" w:hAnsi="Arial"/>
        </w:rPr>
        <w:t xml:space="preserve"> </w:t>
      </w:r>
      <w:r>
        <w:rPr>
          <w:rFonts w:cs="Arial" w:ascii="Arial" w:hAnsi="Arial"/>
        </w:rPr>
        <w:t xml:space="preserve">Regulation of Natural Gas Pipelines After Partial Wellhead Decontrol, Order 436, </w:t>
      </w:r>
      <w:r>
        <w:rPr>
          <w:rFonts w:cs="Arial" w:ascii="Arial" w:hAnsi="Arial"/>
          <w:i/>
        </w:rPr>
        <w:t>50 Federal Register ¶ 42,408</w:t>
      </w:r>
      <w:r>
        <w:rPr>
          <w:rFonts w:cs="Arial" w:ascii="Arial" w:hAnsi="Arial"/>
        </w:rPr>
        <w:t xml:space="preserve"> (October 18, 1985) </w:t>
      </w:r>
    </w:p>
  </w:footnote>
  <w:footnote w:id="14">
    <w:p>
      <w:pPr>
        <w:pStyle w:val="FootnoteText"/>
        <w:jc w:val="both"/>
        <w:rPr/>
      </w:pPr>
      <w:r>
        <w:rPr>
          <w:rStyle w:val="FootnoteCharacters"/>
        </w:rPr>
        <w:footnoteRef/>
      </w:r>
      <w:r>
        <w:rPr>
          <w:rFonts w:cs="Arial" w:ascii="Arial" w:hAnsi="Arial"/>
        </w:rPr>
        <w:t xml:space="preserve"> </w:t>
      </w:r>
      <w:r>
        <w:rPr>
          <w:rFonts w:cs="Arial" w:ascii="Arial" w:hAnsi="Arial"/>
          <w:i/>
        </w:rPr>
        <w:t xml:space="preserve">Gas Price Index, </w:t>
      </w:r>
      <w:r>
        <w:rPr>
          <w:rFonts w:cs="Arial" w:ascii="Arial" w:hAnsi="Arial"/>
        </w:rPr>
        <w:t>Natural Gas Intelligence, Volume 3, No. 6 (June 25, 1990).</w:t>
      </w:r>
    </w:p>
  </w:footnote>
  <w:footnote w:id="15">
    <w:p>
      <w:pPr>
        <w:pStyle w:val="FootnoteText"/>
        <w:jc w:val="both"/>
        <w:rPr/>
      </w:pPr>
      <w:r>
        <w:rPr>
          <w:rStyle w:val="FootnoteCharacters"/>
        </w:rPr>
        <w:footnoteRef/>
      </w:r>
      <w:r>
        <w:rPr>
          <w:rFonts w:cs="Arial" w:ascii="Arial" w:hAnsi="Arial"/>
        </w:rPr>
        <w:t xml:space="preserve"> </w:t>
      </w:r>
      <w:r>
        <w:rPr>
          <w:rFonts w:cs="Arial" w:ascii="Arial" w:hAnsi="Arial"/>
          <w:i/>
        </w:rPr>
        <w:t>Wellhead Purchase by Interstate Pipeline Companies Since the NGPA</w:t>
      </w:r>
      <w:r>
        <w:rPr>
          <w:rFonts w:cs="Arial" w:ascii="Arial" w:hAnsi="Arial"/>
        </w:rPr>
        <w:t>, Energy Information Administration, (1988), Table 7.</w:t>
      </w:r>
    </w:p>
  </w:footnote>
  <w:footnote w:id="16">
    <w:p>
      <w:pPr>
        <w:pStyle w:val="FootnoteText"/>
        <w:jc w:val="both"/>
        <w:rPr/>
      </w:pPr>
      <w:r>
        <w:rPr>
          <w:rStyle w:val="FootnoteCharacters"/>
        </w:rPr>
        <w:footnoteRef/>
      </w:r>
      <w:r>
        <w:rPr>
          <w:rFonts w:cs="Arial" w:ascii="Arial" w:hAnsi="Arial"/>
        </w:rPr>
        <w:t xml:space="preserve"> </w:t>
      </w:r>
      <w:r>
        <w:rPr>
          <w:rFonts w:cs="Arial" w:ascii="Arial" w:hAnsi="Arial"/>
          <w:i/>
        </w:rPr>
        <w:t>Wellhead Purchase by Interstate Pipeline Companies Since the NGPA</w:t>
      </w:r>
      <w:r>
        <w:rPr>
          <w:rFonts w:cs="Arial" w:ascii="Arial" w:hAnsi="Arial"/>
        </w:rPr>
        <w:t>, Energy Information Administration, (1988), Table 7.</w:t>
      </w:r>
    </w:p>
  </w:footnote>
  <w:footnote w:id="17">
    <w:p>
      <w:pPr>
        <w:pStyle w:val="FootnoteText"/>
        <w:jc w:val="both"/>
        <w:rPr/>
      </w:pPr>
      <w:r>
        <w:rPr>
          <w:rStyle w:val="FootnoteCharacters"/>
        </w:rPr>
        <w:footnoteRef/>
      </w:r>
      <w:r>
        <w:rPr>
          <w:rFonts w:cs="Arial" w:ascii="Arial" w:hAnsi="Arial"/>
        </w:rPr>
        <w:t xml:space="preserve"> </w:t>
      </w:r>
      <w:r>
        <w:rPr>
          <w:rFonts w:cs="Arial" w:ascii="Arial" w:hAnsi="Arial"/>
        </w:rPr>
        <w:t xml:space="preserve">Regulation of Natural Gas Pipelines After Partial Wellhead Decontrol, (Order 500-H) </w:t>
      </w:r>
      <w:r>
        <w:rPr>
          <w:rFonts w:cs="Arial" w:ascii="Arial" w:hAnsi="Arial"/>
          <w:i/>
        </w:rPr>
        <w:t xml:space="preserve">54 Federal Register 52344, </w:t>
      </w:r>
      <w:r>
        <w:rPr>
          <w:rFonts w:cs="Arial" w:ascii="Arial" w:hAnsi="Arial"/>
        </w:rPr>
        <w:t>(December 21, 1989).</w:t>
      </w:r>
    </w:p>
  </w:footnote>
  <w:footnote w:id="18">
    <w:p>
      <w:pPr>
        <w:pStyle w:val="FootnoteText"/>
        <w:jc w:val="both"/>
        <w:rPr/>
      </w:pPr>
      <w:r>
        <w:rPr>
          <w:rStyle w:val="FootnoteCharacters"/>
        </w:rPr>
        <w:footnoteRef/>
      </w:r>
      <w:r>
        <w:rPr>
          <w:rFonts w:cs="Arial" w:ascii="Arial" w:hAnsi="Arial"/>
        </w:rPr>
        <w:t xml:space="preserve"> </w:t>
      </w:r>
      <w:r>
        <w:rPr>
          <w:rFonts w:cs="Arial" w:ascii="Arial" w:hAnsi="Arial"/>
        </w:rPr>
        <w:t>Columbia Gulf Transmission Company, Order Approving Contested Offers of Settlement Subject to Conditions and Denying Rehearing, 39 FERC ¶ 61,335 (1987).</w:t>
      </w:r>
    </w:p>
  </w:footnote>
  <w:footnote w:id="19">
    <w:p>
      <w:pPr>
        <w:pStyle w:val="FootnoteText"/>
        <w:jc w:val="both"/>
        <w:rPr/>
      </w:pPr>
      <w:r>
        <w:rPr>
          <w:rStyle w:val="FootnoteCharacters"/>
        </w:rPr>
        <w:footnoteRef/>
      </w:r>
      <w:r>
        <w:rPr>
          <w:rFonts w:cs="Arial" w:ascii="Arial" w:hAnsi="Arial"/>
        </w:rPr>
        <w:t xml:space="preserve"> </w:t>
      </w:r>
      <w:r>
        <w:rPr>
          <w:rFonts w:cs="Arial" w:ascii="Arial" w:hAnsi="Arial"/>
        </w:rPr>
        <w:t>The continuation of this same problem would ultimately force Columbia into bankruptcy several years later.</w:t>
      </w:r>
    </w:p>
  </w:footnote>
  <w:footnote w:id="20">
    <w:p>
      <w:pPr>
        <w:pStyle w:val="FootnoteText"/>
        <w:jc w:val="both"/>
        <w:rPr/>
      </w:pPr>
      <w:r>
        <w:rPr>
          <w:rStyle w:val="FootnoteCharacters"/>
        </w:rPr>
        <w:footnoteRef/>
      </w:r>
      <w:r>
        <w:rPr>
          <w:rFonts w:cs="Arial" w:ascii="Arial" w:hAnsi="Arial"/>
        </w:rPr>
        <w:t xml:space="preserve">  </w:t>
      </w:r>
      <w:r>
        <w:rPr>
          <w:rFonts w:cs="Arial" w:ascii="Arial" w:hAnsi="Arial"/>
        </w:rPr>
        <w:t xml:space="preserve">Standards of Conduct for Interstate Pipelines with Marketing Affiliates, Order 497, </w:t>
      </w:r>
      <w:r>
        <w:rPr>
          <w:rFonts w:cs="Arial" w:ascii="Arial" w:hAnsi="Arial"/>
          <w:i/>
        </w:rPr>
        <w:t>53 Federal Register 22,161</w:t>
      </w:r>
      <w:r>
        <w:rPr>
          <w:rFonts w:cs="Arial" w:ascii="Arial" w:hAnsi="Arial"/>
        </w:rPr>
        <w:t xml:space="preserve"> (1988).</w:t>
      </w:r>
    </w:p>
  </w:footnote>
  <w:footnote w:id="21">
    <w:p>
      <w:pPr>
        <w:pStyle w:val="FootnoteText"/>
        <w:jc w:val="both"/>
        <w:rPr/>
      </w:pPr>
      <w:r>
        <w:rPr>
          <w:rStyle w:val="FootnoteCharacters"/>
        </w:rPr>
        <w:footnoteRef/>
      </w:r>
      <w:r>
        <w:rPr>
          <w:rFonts w:cs="Arial" w:ascii="Arial" w:hAnsi="Arial"/>
        </w:rPr>
        <w:t xml:space="preserve"> </w:t>
      </w:r>
      <w:r>
        <w:rPr>
          <w:rFonts w:cs="Arial" w:ascii="Arial" w:hAnsi="Arial"/>
        </w:rPr>
        <w:t xml:space="preserve">Associated Gas Distributors v. FERC, </w:t>
      </w:r>
      <w:r>
        <w:rPr>
          <w:rFonts w:cs="Arial" w:ascii="Arial" w:hAnsi="Arial"/>
          <w:i/>
        </w:rPr>
        <w:t>824 F.2d 981</w:t>
      </w:r>
      <w:r>
        <w:rPr>
          <w:rFonts w:cs="Arial" w:ascii="Arial" w:hAnsi="Arial"/>
        </w:rPr>
        <w:t xml:space="preserve"> (D.C. Circuit, 1987).</w:t>
      </w:r>
    </w:p>
  </w:footnote>
  <w:footnote w:id="22">
    <w:p>
      <w:pPr>
        <w:pStyle w:val="FootnoteText"/>
        <w:jc w:val="both"/>
        <w:rPr/>
      </w:pPr>
      <w:r>
        <w:rPr>
          <w:rStyle w:val="FootnoteCharacters"/>
        </w:rPr>
        <w:footnoteRef/>
      </w:r>
      <w:r>
        <w:rPr>
          <w:rFonts w:cs="Arial" w:ascii="Arial" w:hAnsi="Arial"/>
        </w:rPr>
        <w:t xml:space="preserve"> </w:t>
      </w:r>
      <w:r>
        <w:rPr>
          <w:rFonts w:cs="Arial" w:ascii="Arial" w:hAnsi="Arial"/>
        </w:rPr>
        <w:t xml:space="preserve">Regulation of Natural Gas Pipelines After Partial Wellhead Decontrol (Order 500 through Order 500-I), </w:t>
      </w:r>
      <w:r>
        <w:rPr>
          <w:rFonts w:cs="Arial" w:ascii="Arial" w:hAnsi="Arial"/>
          <w:i/>
        </w:rPr>
        <w:t>52 Federal Register 30,334</w:t>
      </w:r>
      <w:r>
        <w:rPr>
          <w:rFonts w:cs="Arial" w:ascii="Arial" w:hAnsi="Arial"/>
        </w:rPr>
        <w:t xml:space="preserve"> (1987).</w:t>
      </w:r>
    </w:p>
  </w:footnote>
  <w:footnote w:id="23">
    <w:p>
      <w:pPr>
        <w:pStyle w:val="FootnoteText"/>
        <w:jc w:val="both"/>
        <w:rPr/>
      </w:pPr>
      <w:r>
        <w:rPr>
          <w:rStyle w:val="FootnoteCharacters"/>
        </w:rPr>
        <w:footnoteRef/>
      </w:r>
      <w:r>
        <w:rPr>
          <w:rFonts w:cs="Arial" w:ascii="Arial" w:hAnsi="Arial"/>
        </w:rPr>
        <w:t xml:space="preserve"> </w:t>
      </w:r>
      <w:r>
        <w:rPr>
          <w:rFonts w:cs="Arial" w:ascii="Arial" w:hAnsi="Arial"/>
        </w:rPr>
        <w:t xml:space="preserve">Regulation of Natural Gas Pipelines After Partial Wellhead Decontrol (Order 500 through Order 500-I), </w:t>
      </w:r>
      <w:r>
        <w:rPr>
          <w:rFonts w:cs="Arial" w:ascii="Arial" w:hAnsi="Arial"/>
          <w:i/>
        </w:rPr>
        <w:t>52 Federal Register 30,334</w:t>
      </w:r>
      <w:r>
        <w:rPr>
          <w:rFonts w:cs="Arial" w:ascii="Arial" w:hAnsi="Arial"/>
        </w:rPr>
        <w:t xml:space="preserve"> (1987).</w:t>
      </w:r>
    </w:p>
  </w:footnote>
  <w:footnote w:id="24">
    <w:p>
      <w:pPr>
        <w:pStyle w:val="FootnoteText"/>
        <w:jc w:val="both"/>
        <w:rPr/>
      </w:pPr>
      <w:r>
        <w:rPr>
          <w:rStyle w:val="FootnoteCharacters"/>
        </w:rPr>
        <w:footnoteRef/>
      </w:r>
      <w:r>
        <w:rPr>
          <w:rFonts w:cs="Arial" w:ascii="Arial" w:hAnsi="Arial"/>
        </w:rPr>
        <w:t xml:space="preserve"> </w:t>
      </w:r>
      <w:r>
        <w:rPr>
          <w:rFonts w:cs="Arial" w:ascii="Arial" w:hAnsi="Arial"/>
        </w:rPr>
        <w:t xml:space="preserve">Order on Remand Staying Collection of Take-or-Pay Fixed Charges, Order 528, 53 FERC ¶ 61,163 (1990) </w:t>
      </w:r>
    </w:p>
  </w:footnote>
  <w:footnote w:id="25">
    <w:p>
      <w:pPr>
        <w:pStyle w:val="FootnoteText"/>
        <w:jc w:val="both"/>
        <w:rPr/>
      </w:pPr>
      <w:r>
        <w:rPr>
          <w:rStyle w:val="FootnoteCharacters"/>
        </w:rPr>
        <w:footnoteRef/>
      </w:r>
      <w:r>
        <w:rPr>
          <w:rFonts w:cs="Arial" w:ascii="Arial" w:hAnsi="Arial"/>
        </w:rPr>
        <w:t xml:space="preserve"> </w:t>
      </w:r>
      <w:r>
        <w:rPr>
          <w:rFonts w:cs="Arial" w:ascii="Arial" w:hAnsi="Arial"/>
          <w:i/>
        </w:rPr>
        <w:t>Natural Gas Monthly</w:t>
      </w:r>
      <w:r>
        <w:rPr>
          <w:rFonts w:cs="Arial" w:ascii="Arial" w:hAnsi="Arial"/>
        </w:rPr>
        <w:t xml:space="preserve">, Energy Information Administration, (January 1989) Table 4; and </w:t>
      </w:r>
      <w:r>
        <w:rPr>
          <w:rFonts w:cs="Arial" w:ascii="Arial" w:hAnsi="Arial"/>
          <w:i/>
        </w:rPr>
        <w:t>Gas Price Index,</w:t>
      </w:r>
      <w:r>
        <w:rPr>
          <w:rFonts w:cs="Arial" w:ascii="Arial" w:hAnsi="Arial"/>
        </w:rPr>
        <w:t xml:space="preserve">  Natural Gas Intelligence, Volume 1, No. 39, (February 1989).</w:t>
      </w:r>
    </w:p>
  </w:footnote>
  <w:footnote w:id="26">
    <w:p>
      <w:pPr>
        <w:pStyle w:val="FootnoteText"/>
        <w:jc w:val="both"/>
        <w:rPr/>
      </w:pPr>
      <w:r>
        <w:rPr>
          <w:rStyle w:val="FootnoteCharacters"/>
        </w:rPr>
        <w:footnoteRef/>
      </w:r>
      <w:r>
        <w:rPr>
          <w:rFonts w:cs="Arial" w:ascii="Arial" w:hAnsi="Arial"/>
        </w:rPr>
        <w:t>Pipeline Service Obligations and Revisions to Regulations Governing Self-Implementing Transportation, Order 636,  59 FERC ¶ 61,030 (1992)</w:t>
      </w:r>
      <w:r>
        <w:rPr/>
        <w:t xml:space="preserve"> </w:t>
      </w:r>
    </w:p>
  </w:footnote>
  <w:footnote w:id="27">
    <w:p>
      <w:pPr>
        <w:pStyle w:val="FootnoteText"/>
        <w:jc w:val="both"/>
        <w:rPr/>
      </w:pPr>
      <w:r>
        <w:rPr>
          <w:rStyle w:val="FootnoteCharacters"/>
        </w:rPr>
        <w:footnoteRef/>
      </w:r>
      <w:r>
        <w:rPr>
          <w:rFonts w:cs="Arial" w:ascii="Arial" w:hAnsi="Arial"/>
        </w:rPr>
        <w:t xml:space="preserve"> </w:t>
      </w:r>
      <w:r>
        <w:rPr>
          <w:rFonts w:cs="Arial" w:ascii="Arial" w:hAnsi="Arial"/>
          <w:i/>
        </w:rPr>
        <w:t>ibid.</w:t>
      </w:r>
    </w:p>
  </w:footnote>
  <w:footnote w:id="28">
    <w:p>
      <w:pPr>
        <w:pStyle w:val="FootnoteText"/>
        <w:jc w:val="both"/>
        <w:rPr/>
      </w:pPr>
      <w:r>
        <w:rPr>
          <w:rStyle w:val="FootnoteCharacters"/>
        </w:rPr>
        <w:footnoteRef/>
      </w:r>
      <w:r>
        <w:rPr>
          <w:rFonts w:cs="Arial" w:ascii="Arial" w:hAnsi="Arial"/>
        </w:rPr>
        <w:t xml:space="preserve"> </w:t>
      </w:r>
      <w:r>
        <w:rPr>
          <w:rFonts w:cs="Arial" w:ascii="Arial" w:hAnsi="Arial"/>
          <w:i/>
        </w:rPr>
        <w:t>ibid.</w:t>
      </w:r>
    </w:p>
  </w:footnote>
  <w:footnote w:id="29">
    <w:p>
      <w:pPr>
        <w:pStyle w:val="FootnoteText"/>
        <w:jc w:val="both"/>
        <w:rPr/>
      </w:pPr>
      <w:r>
        <w:rPr>
          <w:rStyle w:val="FootnoteCharacters"/>
        </w:rPr>
        <w:footnoteRef/>
      </w:r>
      <w:r>
        <w:rPr>
          <w:rFonts w:cs="Arial" w:ascii="Arial" w:hAnsi="Arial"/>
        </w:rPr>
        <w:t xml:space="preserve"> </w:t>
      </w:r>
      <w:r>
        <w:rPr>
          <w:rFonts w:cs="Arial" w:ascii="Arial" w:hAnsi="Arial"/>
          <w:i/>
        </w:rPr>
        <w:t>ibid.</w:t>
      </w:r>
    </w:p>
  </w:footnote>
  <w:footnote w:id="30">
    <w:p>
      <w:pPr>
        <w:pStyle w:val="FootnoteText"/>
        <w:rPr/>
      </w:pPr>
      <w:r>
        <w:rPr>
          <w:rStyle w:val="FootnoteCharacters"/>
        </w:rPr>
        <w:footnoteRef/>
      </w:r>
      <w:r>
        <w:rPr>
          <w:rFonts w:cs="Arial" w:ascii="Arial" w:hAnsi="Arial"/>
        </w:rPr>
        <w:t xml:space="preserve"> </w:t>
      </w:r>
      <w:r>
        <w:rPr>
          <w:rFonts w:cs="Arial" w:ascii="Arial" w:hAnsi="Arial"/>
        </w:rPr>
        <w:t>A few exceptions were allowed, primarily for small municipalities served directly by interstate pipelines.</w:t>
      </w:r>
    </w:p>
  </w:footnote>
  <w:footnote w:id="31">
    <w:p>
      <w:pPr>
        <w:pStyle w:val="FootnoteText"/>
        <w:jc w:val="both"/>
        <w:rPr/>
      </w:pPr>
      <w:r>
        <w:rPr>
          <w:rStyle w:val="FootnoteCharacters"/>
        </w:rPr>
        <w:footnoteRef/>
      </w:r>
      <w:r>
        <w:rPr>
          <w:rFonts w:cs="Arial" w:ascii="Arial" w:hAnsi="Arial"/>
        </w:rPr>
        <w:t xml:space="preserve"> </w:t>
      </w:r>
      <w:r>
        <w:rPr>
          <w:rFonts w:cs="Arial" w:ascii="Arial" w:hAnsi="Arial"/>
          <w:i/>
        </w:rPr>
        <w:t>Pipeline Markets in Transition</w:t>
      </w:r>
      <w:r>
        <w:rPr>
          <w:rFonts w:cs="Arial" w:ascii="Arial" w:hAnsi="Arial"/>
        </w:rPr>
        <w:t>, Gas Research Institute, GRI-97/034, 1998; and Tennessee Gas Pipeline, 79 FERC ¶ 61,031 (1997).</w:t>
      </w:r>
    </w:p>
  </w:footnote>
  <w:footnote w:id="32">
    <w:p>
      <w:pPr>
        <w:pStyle w:val="FootnoteText"/>
        <w:jc w:val="both"/>
        <w:rPr/>
      </w:pPr>
      <w:r>
        <w:rPr>
          <w:rStyle w:val="FootnoteCharacters"/>
        </w:rPr>
        <w:footnoteRef/>
      </w:r>
      <w:r>
        <w:rPr>
          <w:rFonts w:cs="Arial" w:ascii="Arial" w:hAnsi="Arial"/>
        </w:rPr>
        <w:t xml:space="preserve"> </w:t>
      </w:r>
      <w:r>
        <w:rPr>
          <w:rFonts w:cs="Arial" w:ascii="Arial" w:hAnsi="Arial"/>
        </w:rPr>
        <w:t>FERC and Regulatory Out provisions in many contracts released the pipeline from any obligation to pay prices FERC deemed imprudent.  This approach would have shifted much of the stranded cost burden to producers.</w:t>
      </w:r>
    </w:p>
  </w:footnote>
  <w:footnote w:id="33">
    <w:p>
      <w:pPr>
        <w:pStyle w:val="FootnoteText"/>
        <w:jc w:val="both"/>
        <w:rPr/>
      </w:pPr>
      <w:r>
        <w:rPr>
          <w:rStyle w:val="FootnoteCharacters"/>
        </w:rPr>
        <w:footnoteRef/>
      </w:r>
      <w:r>
        <w:rPr>
          <w:rFonts w:cs="Arial" w:ascii="Arial" w:hAnsi="Arial"/>
        </w:rPr>
        <w:t xml:space="preserve"> </w:t>
      </w:r>
      <w:r>
        <w:rPr>
          <w:rFonts w:cs="Arial" w:ascii="Arial" w:hAnsi="Arial"/>
        </w:rPr>
        <w:t xml:space="preserve">See for example, </w:t>
      </w:r>
      <w:r>
        <w:rPr>
          <w:rFonts w:cs="Arial" w:ascii="Arial" w:hAnsi="Arial"/>
          <w:i/>
        </w:rPr>
        <w:t xml:space="preserve">Natural Gas Issues and Trends 1998, </w:t>
      </w:r>
      <w:r>
        <w:rPr>
          <w:rFonts w:cs="Arial" w:ascii="Arial" w:hAnsi="Arial"/>
        </w:rPr>
        <w:t xml:space="preserve">Energy Information Administration, pg. 5; Martin King and Milan Cuc, “Price Convergence in North American Natural Gas Spot Markets,” </w:t>
      </w:r>
      <w:r>
        <w:rPr>
          <w:rFonts w:cs="Arial" w:ascii="Arial" w:hAnsi="Arial"/>
          <w:u w:val="single"/>
        </w:rPr>
        <w:t>Energy Journal</w:t>
      </w:r>
      <w:r>
        <w:rPr>
          <w:rFonts w:cs="Arial" w:ascii="Arial" w:hAnsi="Arial"/>
        </w:rPr>
        <w:t xml:space="preserve"> 17(2) (1996), 17; David W. Walls, “An Econometric Analysis of the Market for Natural Gas Futures,” </w:t>
      </w:r>
      <w:r>
        <w:rPr>
          <w:rFonts w:cs="Arial" w:ascii="Arial" w:hAnsi="Arial"/>
          <w:u w:val="single"/>
        </w:rPr>
        <w:t>Energy Journal</w:t>
      </w:r>
      <w:r>
        <w:rPr>
          <w:rFonts w:cs="Arial" w:ascii="Arial" w:hAnsi="Arial"/>
        </w:rPr>
        <w:t xml:space="preserve"> 16(1) (1995) 71; David W. Walls, “Price Convergence across Natural Gas Fields and City Markets,”</w:t>
      </w:r>
      <w:r>
        <w:rPr>
          <w:rFonts w:cs="Arial" w:ascii="Arial" w:hAnsi="Arial"/>
          <w:u w:val="single"/>
        </w:rPr>
        <w:t xml:space="preserve"> Energy Journal</w:t>
      </w:r>
      <w:r>
        <w:rPr>
          <w:rFonts w:cs="Arial" w:ascii="Arial" w:hAnsi="Arial"/>
        </w:rPr>
        <w:t xml:space="preserve"> 15(4) (1994) 37; Michael J. Doane and Daniel F. Spulber, “Open Access and the Evolution of the U.S. Spot Market for Natural Gas,” </w:t>
      </w:r>
      <w:r>
        <w:rPr>
          <w:rFonts w:cs="Arial" w:ascii="Arial" w:hAnsi="Arial"/>
          <w:u w:val="single"/>
        </w:rPr>
        <w:t>Journal of Law and Economics</w:t>
      </w:r>
      <w:r>
        <w:rPr>
          <w:rFonts w:cs="Arial" w:ascii="Arial" w:hAnsi="Arial"/>
        </w:rPr>
        <w:t xml:space="preserve"> 37(2) (October 1994) 477; Arthur De-Vany and David W. Walls, “Pipeline Access and Market Integration in the Natural Gas Industry:  Evidence from Cointegration Tests,” </w:t>
      </w:r>
      <w:r>
        <w:rPr>
          <w:rFonts w:cs="Arial" w:ascii="Arial" w:hAnsi="Arial"/>
          <w:u w:val="single"/>
        </w:rPr>
        <w:t>Energy Journal</w:t>
      </w:r>
      <w:r>
        <w:rPr>
          <w:rFonts w:cs="Arial" w:ascii="Arial" w:hAnsi="Arial"/>
        </w:rPr>
        <w:t xml:space="preserve"> 14(4) (1993) 1; and David W. Walls, “Competition, Prices and Efficiency in the Deregulated Gas Pipeline Network: A Multivariate Cointegration Analysis,” </w:t>
      </w:r>
      <w:r>
        <w:rPr>
          <w:rFonts w:cs="Arial" w:ascii="Arial" w:hAnsi="Arial"/>
          <w:u w:val="single"/>
        </w:rPr>
        <w:t>Journal of Energy and Development</w:t>
      </w:r>
      <w:r>
        <w:rPr>
          <w:rFonts w:cs="Arial" w:ascii="Arial" w:hAnsi="Arial"/>
        </w:rPr>
        <w:t xml:space="preserve"> 19(1) (Autumn 1993) 1.</w:t>
      </w:r>
    </w:p>
  </w:footnote>
  <w:footnote w:id="34">
    <w:p>
      <w:pPr>
        <w:pStyle w:val="FootnoteText"/>
        <w:jc w:val="both"/>
        <w:rPr/>
      </w:pPr>
      <w:r>
        <w:rPr>
          <w:rStyle w:val="FootnoteCharacters"/>
        </w:rPr>
        <w:footnoteRef/>
      </w:r>
      <w:r>
        <w:rPr>
          <w:rFonts w:cs="Arial" w:ascii="Arial" w:hAnsi="Arial"/>
        </w:rPr>
        <w:t xml:space="preserve"> </w:t>
      </w:r>
      <w:r>
        <w:rPr>
          <w:rFonts w:cs="Arial" w:ascii="Arial" w:hAnsi="Arial"/>
        </w:rPr>
        <w:t>Usually a modest amount for additional compressor fuel and certain regulatory surcharges.</w:t>
      </w:r>
    </w:p>
  </w:footnote>
  <w:footnote w:id="35">
    <w:p>
      <w:pPr>
        <w:pStyle w:val="FootnoteText"/>
        <w:jc w:val="both"/>
        <w:rPr/>
      </w:pPr>
      <w:r>
        <w:rPr>
          <w:rStyle w:val="FootnoteCharacters"/>
        </w:rPr>
        <w:footnoteRef/>
      </w:r>
      <w:r>
        <w:rPr>
          <w:rFonts w:cs="Arial" w:ascii="Arial" w:hAnsi="Arial"/>
        </w:rPr>
        <w:t xml:space="preserve"> </w:t>
      </w:r>
      <w:r>
        <w:rPr>
          <w:rFonts w:cs="Arial" w:ascii="Arial" w:hAnsi="Arial"/>
        </w:rPr>
        <w:t>Regulation of Short-Term Natural Gas Transportation Services, Order 637, 90 FERC ¶ 61,109 (2000).</w:t>
      </w:r>
      <w:r>
        <w:rPr/>
        <w:t xml:space="preserve"> </w:t>
      </w:r>
    </w:p>
  </w:footnote>
  <w:footnote w:id="36">
    <w:p>
      <w:pPr>
        <w:pStyle w:val="FootnoteText"/>
        <w:jc w:val="both"/>
        <w:rPr/>
      </w:pPr>
      <w:r>
        <w:rPr>
          <w:rStyle w:val="FootnoteCharacters"/>
        </w:rPr>
        <w:footnoteRef/>
      </w:r>
      <w:r>
        <w:rPr>
          <w:rFonts w:cs="Arial" w:ascii="Arial" w:hAnsi="Arial"/>
        </w:rPr>
        <w:t xml:space="preserve"> </w:t>
      </w:r>
      <w:r>
        <w:rPr>
          <w:rFonts w:cs="Arial" w:ascii="Arial" w:hAnsi="Arial"/>
        </w:rPr>
        <w:t xml:space="preserve">An important issue that lies beyond the scope of this paper is the extent to which the natural monopoly features of pipelines subject any market-based pricing of congestion to the exercise of market power.  There is certainly concern that this is what has happened over the past year at the California border.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1080"/>
        </w:tabs>
        <w:ind w:start="1080" w:hanging="360"/>
      </w:pPr>
      <w:rPr>
        <w:b/>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upperRoman"/>
      <w:lvlText w:val="%1."/>
      <w:lvlJc w:val="start"/>
      <w:pPr>
        <w:tabs>
          <w:tab w:val="num" w:pos="720"/>
        </w:tabs>
        <w:ind w:start="720" w:hanging="720"/>
      </w:pPr>
      <w:rPr>
        <w:i w:val="false"/>
        <w:b/>
      </w:rPr>
    </w:lvl>
  </w:abstractNum>
  <w:abstractNum w:abstractNumId="5">
    <w:lvl w:ilvl="0">
      <w:start w:val="1"/>
      <w:numFmt w:val="upperLetter"/>
      <w:lvlText w:val="%1."/>
      <w:lvlJc w:val="start"/>
      <w:pPr>
        <w:tabs>
          <w:tab w:val="num" w:pos="360"/>
        </w:tabs>
        <w:ind w:start="360" w:hanging="360"/>
      </w:pPr>
      <w:rPr>
        <w:sz w:val="24"/>
        <w:i w:val="false"/>
        <w:b/>
        <w:rFonts w:ascii="Arial" w:hAnsi="Arial" w:cs="Arial"/>
      </w:rPr>
    </w:lvl>
  </w:abstractNum>
  <w:abstractNum w:abstractNumId="6">
    <w:lvl w:ilvl="0">
      <w:start w:val="5"/>
      <w:numFmt w:val="upperLetter"/>
      <w:lvlText w:val="%1."/>
      <w:lvlJc w:val="start"/>
      <w:pPr>
        <w:tabs>
          <w:tab w:val="num" w:pos="360"/>
        </w:tabs>
        <w:ind w:start="360" w:hanging="360"/>
      </w:pPr>
      <w:rPr>
        <w:sz w:val="24"/>
        <w:i w:val="false"/>
        <w:b/>
        <w:rFonts w:ascii="Arial" w:hAnsi="Arial" w:cs="Arial"/>
      </w:rPr>
    </w:lvl>
  </w:abstractNum>
  <w:abstractNum w:abstractNumId="7">
    <w:lvl w:ilvl="0">
      <w:start w:val="3"/>
      <w:numFmt w:val="upperLetter"/>
      <w:lvlText w:val="%1."/>
      <w:lvlJc w:val="start"/>
      <w:pPr>
        <w:tabs>
          <w:tab w:val="num" w:pos="360"/>
        </w:tabs>
        <w:ind w:start="360" w:hanging="360"/>
      </w:pPr>
      <w:rPr>
        <w:sz w:val="24"/>
        <w:i w:val="false"/>
        <w:b/>
        <w:rFonts w:ascii="Arial" w:hAnsi="Arial" w:cs="Arial"/>
      </w:rPr>
    </w:lvl>
  </w:abstractNum>
  <w:abstractNum w:abstractNumId="8">
    <w:lvl w:ilvl="0">
      <w:start w:val="1"/>
      <w:numFmt w:val="upperLetter"/>
      <w:lvlText w:val="%1."/>
      <w:lvlJc w:val="start"/>
      <w:pPr>
        <w:tabs>
          <w:tab w:val="num" w:pos="360"/>
        </w:tabs>
        <w:ind w:start="360" w:hanging="360"/>
      </w:pPr>
      <w:rPr>
        <w:sz w:val="24"/>
        <w:i w:val="false"/>
        <w:b/>
        <w:rFonts w:ascii="Arial" w:hAnsi="Arial" w:cs="Arial"/>
      </w:rPr>
    </w:lvl>
  </w:abstractNum>
  <w:abstractNum w:abstractNumId="9">
    <w:lvl w:ilvl="0">
      <w:start w:val="4"/>
      <w:numFmt w:val="upperRoman"/>
      <w:lvlText w:val="%1."/>
      <w:lvlJc w:val="start"/>
      <w:pPr>
        <w:tabs>
          <w:tab w:val="num" w:pos="720"/>
        </w:tabs>
        <w:ind w:start="720" w:hanging="720"/>
      </w:pPr>
      <w:rPr>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
    <w:lvlOverride w:ilvl="0">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4"/>
    </w:rPr>
  </w:style>
  <w:style w:type="paragraph" w:styleId="Heading2">
    <w:name w:val="heading 2"/>
    <w:basedOn w:val="Normal"/>
    <w:next w:val="Normal"/>
    <w:qFormat/>
    <w:pPr>
      <w:keepNext w:val="true"/>
      <w:numPr>
        <w:ilvl w:val="0"/>
        <w:numId w:val="4"/>
      </w:numPr>
      <w:outlineLvl w:val="1"/>
    </w:pPr>
    <w:rPr>
      <w:rFonts w:ascii="Arial" w:hAnsi="Arial" w:cs="Arial"/>
      <w:b/>
      <w:sz w:val="24"/>
      <w:u w:val="single"/>
    </w:rPr>
  </w:style>
  <w:style w:type="paragraph" w:styleId="Heading3">
    <w:name w:val="heading 3"/>
    <w:basedOn w:val="Normal"/>
    <w:next w:val="Normal"/>
    <w:qFormat/>
    <w:pPr>
      <w:keepNext w:val="true"/>
      <w:outlineLvl w:val="2"/>
    </w:pPr>
    <w:rPr>
      <w:rFonts w:ascii="Arial" w:hAnsi="Arial" w:cs="Arial"/>
      <w:b/>
      <w:sz w:val="28"/>
    </w:rPr>
  </w:style>
  <w:style w:type="paragraph" w:styleId="Heading4">
    <w:name w:val="heading 4"/>
    <w:basedOn w:val="Normal"/>
    <w:next w:val="Normal"/>
    <w:qFormat/>
    <w:pPr>
      <w:keepNext w:val="true"/>
      <w:outlineLvl w:val="3"/>
    </w:pPr>
    <w:rPr>
      <w:rFonts w:ascii="Arial" w:hAnsi="Arial" w:cs="Arial"/>
      <w:b/>
      <w:sz w:val="24"/>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Arial" w:hAnsi="Arial" w:cs="Arial"/>
      <w:b/>
      <w:i w:val="false"/>
      <w:sz w:val="24"/>
    </w:rPr>
  </w:style>
  <w:style w:type="character" w:styleId="WW8Num4z0">
    <w:name w:val="WW8Num4z0"/>
    <w:qFormat/>
    <w:rPr>
      <w:b/>
    </w:rPr>
  </w:style>
  <w:style w:type="character" w:styleId="WW8Num5z0">
    <w:name w:val="WW8Num5z0"/>
    <w:qFormat/>
    <w:rPr>
      <w:b/>
      <w:i w:val="false"/>
    </w:rPr>
  </w:style>
  <w:style w:type="character" w:styleId="WW8Num6z0">
    <w:name w:val="WW8Num6z0"/>
    <w:qFormat/>
    <w:rPr>
      <w:rFonts w:ascii="Times New Roman" w:hAnsi="Times New Roman" w:cs="Times New Roman"/>
    </w:rPr>
  </w:style>
  <w:style w:type="character" w:styleId="WW8Num7z0">
    <w:name w:val="WW8Num7z0"/>
    <w:qFormat/>
    <w:rPr/>
  </w:style>
  <w:style w:type="character" w:styleId="WW8Num8z0">
    <w:name w:val="WW8Num8z0"/>
    <w:qFormat/>
    <w:rPr>
      <w:rFonts w:ascii="Arial" w:hAnsi="Arial" w:cs="Arial"/>
      <w:b/>
      <w:i w:val="false"/>
      <w:sz w:val="24"/>
    </w:rPr>
  </w:style>
  <w:style w:type="character" w:styleId="WW8Num9z0">
    <w:name w:val="WW8Num9z0"/>
    <w:qFormat/>
    <w:rPr>
      <w:b/>
      <w:i w:val="false"/>
    </w:rPr>
  </w:style>
  <w:style w:type="character" w:styleId="WW8Num10z0">
    <w:name w:val="WW8Num10z0"/>
    <w:qFormat/>
    <w:rPr>
      <w:b/>
    </w:rPr>
  </w:style>
  <w:style w:type="character" w:styleId="WW8Num11z0">
    <w:name w:val="WW8Num11z0"/>
    <w:qFormat/>
    <w:rPr>
      <w:b/>
      <w:i w:val="false"/>
    </w:rPr>
  </w:style>
  <w:style w:type="character" w:styleId="WW8Num12z0">
    <w:name w:val="WW8Num12z0"/>
    <w:qFormat/>
    <w:rPr>
      <w:rFonts w:ascii="Arial" w:hAnsi="Arial" w:cs="Arial"/>
      <w:b/>
      <w:i w:val="false"/>
      <w:sz w:val="24"/>
    </w:rPr>
  </w:style>
  <w:style w:type="character" w:styleId="WW8Num13z0">
    <w:name w:val="WW8Num13z0"/>
    <w:qFormat/>
    <w:rPr>
      <w:rFonts w:ascii="Arial" w:hAnsi="Arial" w:cs="Arial"/>
      <w:b/>
      <w:i w:val="false"/>
      <w:sz w:val="24"/>
    </w:rPr>
  </w:style>
  <w:style w:type="character" w:styleId="WW8Num14z0">
    <w:name w:val="WW8Num14z0"/>
    <w:qFormat/>
    <w:rPr>
      <w:i/>
    </w:rPr>
  </w:style>
  <w:style w:type="character" w:styleId="WW8Num15z0">
    <w:name w:val="WW8Num15z0"/>
    <w:qFormat/>
    <w:rPr>
      <w:rFonts w:ascii="Arial" w:hAnsi="Arial" w:cs="Arial"/>
      <w:b/>
      <w:i w:val="false"/>
      <w:sz w:val="24"/>
    </w:rPr>
  </w:style>
  <w:style w:type="character" w:styleId="WW8Num16z0">
    <w:name w:val="WW8Num16z0"/>
    <w:qFormat/>
    <w:rPr>
      <w:b/>
      <w:i w:val="false"/>
    </w:rPr>
  </w:style>
  <w:style w:type="character" w:styleId="WW8Num17z0">
    <w:name w:val="WW8Num1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rFonts w:ascii="Arial" w:hAnsi="Arial" w:cs="Arial"/>
      <w:sz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rFonts w:ascii="Arial" w:hAnsi="Arial" w:cs="Arial"/>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2001-05-22T22:35:00Z</dcterms:created>
  <dc:creator>Jeffrey Leitzinger</dc:creator>
  <dc:description/>
  <dc:language>en-CA</dc:language>
  <cp:lastModifiedBy>BDowner</cp:lastModifiedBy>
  <cp:lastPrinted>2001-05-22T18:42:00Z</cp:lastPrinted>
  <dcterms:modified xsi:type="dcterms:W3CDTF">2001-05-22T23:24:00Z</dcterms:modified>
  <cp:revision>8</cp:revision>
  <dc:subject/>
  <dc:title>A</dc:title>
</cp:coreProperties>
</file>