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rightFromText="180" w:tblpX="7" w:tblpY="80"/>
        <w:tblOverlap w:val="never"/>
        <w:tblW w:w="11304" w:type="dxa"/>
        <w:jc w:val="start"/>
        <w:tblInd w:w="108" w:type="dxa"/>
        <w:tblLayout w:type="fixed"/>
        <w:tblCellMar>
          <w:top w:w="0" w:type="dxa"/>
          <w:start w:w="108" w:type="dxa"/>
          <w:bottom w:w="0" w:type="dxa"/>
          <w:end w:w="108" w:type="dxa"/>
        </w:tblCellMar>
      </w:tblPr>
      <w:tblGrid>
        <w:gridCol w:w="2358"/>
        <w:gridCol w:w="8946"/>
      </w:tblGrid>
      <w:tr>
        <w:trPr>
          <w:trHeight w:val="792" w:hRule="atLeast"/>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Black" w:hAnsi="Arial Black" w:cs="Arial Black"/>
                <w:sz w:val="16"/>
              </w:rPr>
            </w:pPr>
            <w:r>
              <w:rPr>
                <w:rFonts w:cs="Arial Black" w:ascii="Arial Black" w:hAnsi="Arial Black"/>
                <w:sz w:val="16"/>
              </w:rPr>
            </w:r>
          </w:p>
          <w:p>
            <w:pPr>
              <w:pStyle w:val="Normal"/>
              <w:widowControl/>
              <w:jc w:val="both"/>
              <w:rPr>
                <w:rFonts w:ascii="Arial Black" w:hAnsi="Arial Black" w:cs="Arial Black"/>
                <w:sz w:val="16"/>
              </w:rPr>
            </w:pPr>
            <w:r>
              <w:rPr>
                <w:rFonts w:cs="Arial Black" w:ascii="Arial Black" w:hAnsi="Arial Black"/>
                <w:sz w:val="16"/>
              </w:rPr>
              <w:t>Counterparty:</w:t>
            </w:r>
          </w:p>
        </w:tc>
        <w:tc>
          <w:tcPr>
            <w:tcW w:w="8946"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Black" w:hAnsi="Arial Black" w:cs="Arial Black"/>
                <w:sz w:val="16"/>
              </w:rPr>
            </w:pPr>
            <w:r>
              <w:rPr>
                <w:rFonts w:cs="Arial Black"/>
                <w:sz w:val="16"/>
              </w:rPr>
            </w:r>
          </w:p>
          <w:p>
            <w:pPr>
              <w:pStyle w:val="Heading1"/>
              <w:ind w:hanging="0" w:start="0"/>
              <w:rPr/>
            </w:pPr>
            <w:r>
              <w:rPr/>
              <w:t>City of Tallahassee - Buyer</w:t>
            </w:r>
          </w:p>
          <w:p>
            <w:pPr>
              <w:pStyle w:val="Normal"/>
              <w:rPr/>
            </w:pPr>
            <w:r>
              <w:rPr/>
            </w:r>
          </w:p>
        </w:tc>
      </w:tr>
      <w:tr>
        <w:trPr>
          <w:trHeight w:val="347" w:hRule="atLeast"/>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rPr>
                <w:rFonts w:ascii="Arial Black" w:hAnsi="Arial Black" w:cs="Arial Black"/>
                <w:sz w:val="16"/>
              </w:rPr>
            </w:pPr>
            <w:r>
              <w:rPr>
                <w:rFonts w:cs="Arial Black" w:ascii="Arial Black" w:hAnsi="Arial Black"/>
                <w:sz w:val="16"/>
              </w:rPr>
              <w:t>Contract Name and Date:</w:t>
            </w:r>
          </w:p>
        </w:tc>
        <w:tc>
          <w:tcPr>
            <w:tcW w:w="8946"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Black" w:hAnsi="Arial Black" w:cs="Arial Black"/>
                <w:sz w:val="16"/>
              </w:rPr>
            </w:pPr>
            <w:r>
              <w:rPr>
                <w:rFonts w:cs="Arial Black" w:ascii="Arial Black" w:hAnsi="Arial Black"/>
                <w:sz w:val="16"/>
              </w:rPr>
              <w:t>Gas supply agreement between ENA and Dominion (formerly Louis Dreyfus)</w:t>
            </w:r>
          </w:p>
          <w:p>
            <w:pPr>
              <w:pStyle w:val="Normal"/>
              <w:widowControl/>
              <w:jc w:val="both"/>
              <w:rPr>
                <w:rFonts w:ascii="Arial Black" w:hAnsi="Arial Black" w:cs="Arial Black"/>
                <w:sz w:val="16"/>
              </w:rPr>
            </w:pPr>
            <w:r>
              <w:rPr>
                <w:rFonts w:cs="Arial Black" w:ascii="Arial Black" w:hAnsi="Arial Black"/>
                <w:sz w:val="16"/>
              </w:rPr>
            </w:r>
          </w:p>
        </w:tc>
      </w:tr>
      <w:tr>
        <w:trPr>
          <w:trHeight w:val="347" w:hRule="atLeast"/>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Black" w:hAnsi="Arial Black" w:cs="Arial Black"/>
                <w:sz w:val="16"/>
              </w:rPr>
            </w:pPr>
            <w:r>
              <w:rPr>
                <w:rFonts w:cs="Arial Black" w:ascii="Arial Black" w:hAnsi="Arial Black"/>
                <w:sz w:val="16"/>
              </w:rPr>
            </w:r>
          </w:p>
          <w:p>
            <w:pPr>
              <w:pStyle w:val="Normal"/>
              <w:widowControl/>
              <w:jc w:val="both"/>
              <w:rPr>
                <w:rFonts w:ascii="Arial Black" w:hAnsi="Arial Black" w:cs="Arial Black"/>
                <w:sz w:val="16"/>
              </w:rPr>
            </w:pPr>
            <w:r>
              <w:rPr>
                <w:rFonts w:cs="Arial Black" w:ascii="Arial Black" w:hAnsi="Arial Black"/>
                <w:sz w:val="16"/>
              </w:rPr>
              <w:t>Contract Number:</w:t>
            </w:r>
          </w:p>
        </w:tc>
        <w:tc>
          <w:tcPr>
            <w:tcW w:w="8946"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Black" w:hAnsi="Arial Black" w:cs="Arial Black"/>
                <w:sz w:val="16"/>
              </w:rPr>
            </w:pPr>
            <w:r>
              <w:rPr>
                <w:rFonts w:cs="Arial Black" w:ascii="Arial Black" w:hAnsi="Arial Black"/>
                <w:sz w:val="16"/>
              </w:rPr>
            </w:r>
          </w:p>
        </w:tc>
      </w:tr>
      <w:tr>
        <w:trPr>
          <w:trHeight w:val="531" w:hRule="atLeast"/>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Black" w:hAnsi="Arial Black" w:cs="Arial Black"/>
                <w:sz w:val="16"/>
              </w:rPr>
            </w:pPr>
            <w:r>
              <w:rPr>
                <w:rFonts w:cs="Arial Black" w:ascii="Arial Black" w:hAnsi="Arial Black"/>
                <w:sz w:val="16"/>
              </w:rPr>
            </w:r>
          </w:p>
          <w:p>
            <w:pPr>
              <w:pStyle w:val="Normal"/>
              <w:widowControl/>
              <w:jc w:val="both"/>
              <w:rPr>
                <w:rFonts w:ascii="Arial Black" w:hAnsi="Arial Black" w:cs="Arial Black"/>
                <w:sz w:val="16"/>
              </w:rPr>
            </w:pPr>
            <w:r>
              <w:rPr>
                <w:rFonts w:cs="Arial Black" w:ascii="Arial Black" w:hAnsi="Arial Black"/>
                <w:sz w:val="16"/>
              </w:rPr>
              <w:t>Contract Type:</w:t>
            </w:r>
          </w:p>
        </w:tc>
        <w:tc>
          <w:tcPr>
            <w:tcW w:w="8946"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Black" w:hAnsi="Arial Black" w:cs="Arial Black"/>
                <w:sz w:val="16"/>
              </w:rPr>
            </w:pPr>
            <w:r>
              <w:rPr>
                <w:rFonts w:cs="Arial Black" w:ascii="Arial Black" w:hAnsi="Arial Black"/>
                <w:sz w:val="16"/>
              </w:rPr>
            </w:r>
          </w:p>
          <w:p>
            <w:pPr>
              <w:pStyle w:val="Normal"/>
              <w:widowControl/>
              <w:jc w:val="both"/>
              <w:rPr>
                <w:rFonts w:ascii="Arial Black" w:hAnsi="Arial Black" w:cs="Arial Black"/>
                <w:sz w:val="16"/>
              </w:rPr>
            </w:pPr>
            <w:r>
              <w:rPr>
                <w:rFonts w:cs="Arial Black" w:ascii="Arial Black" w:hAnsi="Arial Black"/>
                <w:sz w:val="16"/>
              </w:rPr>
              <w:t>Gas Purchase Contract</w:t>
            </w:r>
          </w:p>
          <w:p>
            <w:pPr>
              <w:pStyle w:val="Normal"/>
              <w:widowControl/>
              <w:jc w:val="both"/>
              <w:rPr>
                <w:rFonts w:ascii="Arial Black" w:hAnsi="Arial Black" w:cs="Arial Black"/>
                <w:sz w:val="16"/>
              </w:rPr>
            </w:pPr>
            <w:r>
              <w:rPr>
                <w:rFonts w:cs="Arial Black" w:ascii="Arial Black" w:hAnsi="Arial Black"/>
                <w:sz w:val="16"/>
              </w:rPr>
            </w:r>
          </w:p>
        </w:tc>
      </w:tr>
      <w:tr>
        <w:trPr>
          <w:trHeight w:val="531" w:hRule="atLeast"/>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Black" w:hAnsi="Arial Black" w:cs="Arial Black"/>
                <w:sz w:val="16"/>
              </w:rPr>
            </w:pPr>
            <w:r>
              <w:rPr>
                <w:rFonts w:cs="Arial Black" w:ascii="Arial Black" w:hAnsi="Arial Black"/>
                <w:sz w:val="16"/>
              </w:rPr>
            </w:r>
          </w:p>
          <w:p>
            <w:pPr>
              <w:pStyle w:val="Normal"/>
              <w:widowControl/>
              <w:jc w:val="both"/>
              <w:rPr>
                <w:rFonts w:ascii="Arial Black" w:hAnsi="Arial Black" w:cs="Arial Black"/>
                <w:sz w:val="16"/>
              </w:rPr>
            </w:pPr>
            <w:r>
              <w:rPr>
                <w:rFonts w:cs="Arial Black" w:ascii="Arial Black" w:hAnsi="Arial Black"/>
                <w:sz w:val="16"/>
              </w:rPr>
              <w:t>Term: ARTICLE 6</w:t>
            </w:r>
          </w:p>
        </w:tc>
        <w:tc>
          <w:tcPr>
            <w:tcW w:w="8946"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Black" w:hAnsi="Arial Black" w:cs="Arial Black"/>
                <w:sz w:val="16"/>
              </w:rPr>
            </w:pPr>
            <w:r>
              <w:rPr>
                <w:rFonts w:cs="Arial Black" w:ascii="Arial Black" w:hAnsi="Arial Black"/>
                <w:sz w:val="16"/>
              </w:rPr>
            </w:r>
          </w:p>
          <w:p>
            <w:pPr>
              <w:pStyle w:val="Normal"/>
              <w:widowControl/>
              <w:jc w:val="both"/>
              <w:rPr>
                <w:rFonts w:ascii="Arial Black" w:hAnsi="Arial Black" w:cs="Arial Black"/>
                <w:sz w:val="16"/>
              </w:rPr>
            </w:pPr>
            <w:r>
              <w:rPr>
                <w:rFonts w:cs="Arial Black" w:ascii="Arial Black" w:hAnsi="Arial Black"/>
                <w:sz w:val="16"/>
              </w:rPr>
              <w:t>April 1, 1993 to March 31, 2013</w:t>
            </w:r>
          </w:p>
          <w:p>
            <w:pPr>
              <w:pStyle w:val="Normal"/>
              <w:widowControl/>
              <w:jc w:val="both"/>
              <w:rPr>
                <w:rFonts w:ascii="Arial Black" w:hAnsi="Arial Black" w:cs="Arial Black"/>
                <w:sz w:val="16"/>
              </w:rPr>
            </w:pPr>
            <w:r>
              <w:rPr>
                <w:rFonts w:cs="Arial Black" w:ascii="Arial Black" w:hAnsi="Arial Black"/>
                <w:sz w:val="16"/>
              </w:rPr>
            </w:r>
          </w:p>
        </w:tc>
      </w:tr>
      <w:tr>
        <w:trPr>
          <w:trHeight w:val="347" w:hRule="atLeast"/>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Black" w:hAnsi="Arial Black" w:cs="Arial Black"/>
                <w:sz w:val="16"/>
              </w:rPr>
            </w:pPr>
            <w:r>
              <w:rPr>
                <w:rFonts w:cs="Arial Black" w:ascii="Arial Black" w:hAnsi="Arial Black"/>
                <w:sz w:val="16"/>
              </w:rPr>
            </w:r>
          </w:p>
          <w:p>
            <w:pPr>
              <w:pStyle w:val="Normal"/>
              <w:widowControl/>
              <w:jc w:val="both"/>
              <w:rPr>
                <w:rFonts w:ascii="Arial Black" w:hAnsi="Arial Black" w:cs="Arial Black"/>
                <w:sz w:val="16"/>
              </w:rPr>
            </w:pPr>
            <w:r>
              <w:rPr>
                <w:rFonts w:cs="Arial Black" w:ascii="Arial Black" w:hAnsi="Arial Black"/>
                <w:sz w:val="16"/>
              </w:rPr>
              <w:t xml:space="preserve">Delivery Points: </w:t>
            </w:r>
          </w:p>
          <w:p>
            <w:pPr>
              <w:pStyle w:val="Normal"/>
              <w:widowControl/>
              <w:jc w:val="both"/>
              <w:rPr/>
            </w:pPr>
            <w:r>
              <w:rPr>
                <w:rFonts w:cs="Arial Black" w:ascii="Arial Black" w:hAnsi="Arial Black"/>
                <w:sz w:val="16"/>
              </w:rPr>
              <w:t>1</w:t>
            </w:r>
            <w:r>
              <w:rPr>
                <w:rFonts w:cs="Arial Black" w:ascii="Arial Black" w:hAnsi="Arial Black"/>
                <w:sz w:val="16"/>
                <w:vertAlign w:val="superscript"/>
              </w:rPr>
              <w:t>ST</w:t>
            </w:r>
            <w:r>
              <w:rPr>
                <w:rFonts w:cs="Arial Black" w:ascii="Arial Black" w:hAnsi="Arial Black"/>
                <w:sz w:val="16"/>
              </w:rPr>
              <w:t xml:space="preserve"> Amendment</w:t>
            </w:r>
          </w:p>
        </w:tc>
        <w:tc>
          <w:tcPr>
            <w:tcW w:w="8946"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Black" w:hAnsi="Arial Black" w:cs="Arial Black"/>
                <w:sz w:val="16"/>
              </w:rPr>
            </w:pPr>
            <w:r>
              <w:rPr>
                <w:rFonts w:cs="Arial Black" w:ascii="Arial Black" w:hAnsi="Arial Black"/>
                <w:sz w:val="16"/>
              </w:rPr>
            </w:r>
          </w:p>
          <w:p>
            <w:pPr>
              <w:pStyle w:val="Normal"/>
              <w:rPr>
                <w:rFonts w:ascii="Arial Black" w:hAnsi="Arial Black" w:cs="Arial Black"/>
                <w:sz w:val="16"/>
              </w:rPr>
            </w:pPr>
            <w:r>
              <w:rPr>
                <w:rFonts w:cs="Arial Black" w:ascii="Arial Black" w:hAnsi="Arial Black"/>
                <w:sz w:val="16"/>
              </w:rPr>
              <w:t>FGT Z1 (POI #611 MOPS) or FGT Z2 (POI 16509-LRC/Kaplan and on SNG Tier 2 #P20420)</w:t>
            </w:r>
          </w:p>
        </w:tc>
      </w:tr>
      <w:tr>
        <w:trPr>
          <w:trHeight w:val="1744" w:hRule="atLeast"/>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Black" w:hAnsi="Arial Black" w:cs="Arial Black"/>
                <w:sz w:val="16"/>
              </w:rPr>
            </w:pPr>
            <w:r>
              <w:rPr>
                <w:rFonts w:cs="Arial Black" w:ascii="Arial Black" w:hAnsi="Arial Black"/>
                <w:sz w:val="16"/>
              </w:rPr>
            </w:r>
          </w:p>
          <w:p>
            <w:pPr>
              <w:pStyle w:val="Normal"/>
              <w:widowControl/>
              <w:jc w:val="both"/>
              <w:rPr>
                <w:rFonts w:ascii="Arial Black" w:hAnsi="Arial Black" w:cs="Arial Black"/>
                <w:sz w:val="16"/>
              </w:rPr>
            </w:pPr>
            <w:r>
              <w:rPr>
                <w:rFonts w:cs="Arial Black" w:ascii="Arial Black" w:hAnsi="Arial Black"/>
                <w:sz w:val="16"/>
              </w:rPr>
              <w:t>Contract Price:</w:t>
            </w:r>
          </w:p>
          <w:p>
            <w:pPr>
              <w:pStyle w:val="Normal"/>
              <w:widowControl/>
              <w:jc w:val="both"/>
              <w:rPr>
                <w:rFonts w:ascii="Arial Black" w:hAnsi="Arial Black" w:cs="Arial Black"/>
                <w:sz w:val="16"/>
              </w:rPr>
            </w:pPr>
            <w:r>
              <w:rPr>
                <w:rFonts w:cs="Arial Black" w:ascii="Arial Black" w:hAnsi="Arial Black"/>
                <w:sz w:val="16"/>
              </w:rPr>
              <w:t>ARTICLE 5</w:t>
            </w:r>
          </w:p>
        </w:tc>
        <w:tc>
          <w:tcPr>
            <w:tcW w:w="8946"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Black" w:hAnsi="Arial Black" w:cs="Arial Black"/>
                <w:sz w:val="16"/>
              </w:rPr>
            </w:pPr>
            <w:r>
              <w:rPr>
                <w:rFonts w:cs="Arial Black" w:ascii="Arial Black" w:hAnsi="Arial Black"/>
                <w:sz w:val="16"/>
              </w:rPr>
            </w:r>
          </w:p>
          <w:p>
            <w:pPr>
              <w:pStyle w:val="BodyText"/>
              <w:rPr/>
            </w:pPr>
            <w:r>
              <w:rPr>
                <w:u w:val="single"/>
              </w:rPr>
              <w:t>Base Price</w:t>
            </w:r>
            <w:r>
              <w:rPr/>
              <w:t xml:space="preserve"> - Varying Fix price (per second amendment dated 6/25/96):</w:t>
            </w:r>
          </w:p>
          <w:p>
            <w:pPr>
              <w:pStyle w:val="Normal"/>
              <w:widowControl/>
              <w:jc w:val="both"/>
              <w:rPr>
                <w:rFonts w:ascii="Arial Black" w:hAnsi="Arial Black" w:cs="Arial Black"/>
                <w:sz w:val="16"/>
              </w:rPr>
            </w:pPr>
            <w:r>
              <w:rPr>
                <w:rFonts w:cs="Arial Black" w:ascii="Arial Black" w:hAnsi="Arial Black"/>
                <w:sz w:val="16"/>
              </w:rPr>
              <w:t xml:space="preserve">April 01-March 02 =    $3.04                      April 07-March 08 =   $4.07                      </w:t>
            </w:r>
          </w:p>
          <w:p>
            <w:pPr>
              <w:pStyle w:val="Normal"/>
              <w:widowControl/>
              <w:jc w:val="both"/>
              <w:rPr>
                <w:rFonts w:ascii="Arial Black" w:hAnsi="Arial Black" w:cs="Arial Black"/>
                <w:sz w:val="16"/>
              </w:rPr>
            </w:pPr>
            <w:r>
              <w:rPr>
                <w:rFonts w:cs="Arial Black" w:ascii="Arial Black" w:hAnsi="Arial Black"/>
                <w:sz w:val="16"/>
              </w:rPr>
              <w:t>April 02-March 03 =    $3.19                      April 08-March 09 =   $4.28</w:t>
            </w:r>
          </w:p>
          <w:p>
            <w:pPr>
              <w:pStyle w:val="Normal"/>
              <w:widowControl/>
              <w:jc w:val="both"/>
              <w:rPr>
                <w:rFonts w:ascii="Arial Black" w:hAnsi="Arial Black" w:cs="Arial Black"/>
                <w:sz w:val="16"/>
              </w:rPr>
            </w:pPr>
            <w:r>
              <w:rPr>
                <w:rFonts w:cs="Arial Black" w:ascii="Arial Black" w:hAnsi="Arial Black"/>
                <w:sz w:val="16"/>
              </w:rPr>
              <w:t>April 03-March 04 =    $3.35                      April 09-March 10 =   $4.49</w:t>
            </w:r>
          </w:p>
          <w:p>
            <w:pPr>
              <w:pStyle w:val="Normal"/>
              <w:widowControl/>
              <w:jc w:val="both"/>
              <w:rPr>
                <w:rFonts w:ascii="Arial Black" w:hAnsi="Arial Black" w:cs="Arial Black"/>
                <w:sz w:val="16"/>
              </w:rPr>
            </w:pPr>
            <w:r>
              <w:rPr>
                <w:rFonts w:cs="Arial Black" w:ascii="Arial Black" w:hAnsi="Arial Black"/>
                <w:sz w:val="16"/>
              </w:rPr>
              <w:t>April 04-March 05 =    $3.52                      April 10-March 11 =   $4.72</w:t>
            </w:r>
          </w:p>
          <w:p>
            <w:pPr>
              <w:pStyle w:val="Normal"/>
              <w:widowControl/>
              <w:jc w:val="both"/>
              <w:rPr>
                <w:rFonts w:ascii="Arial Black" w:hAnsi="Arial Black" w:cs="Arial Black"/>
                <w:sz w:val="16"/>
              </w:rPr>
            </w:pPr>
            <w:r>
              <w:rPr>
                <w:rFonts w:cs="Arial Black" w:ascii="Arial Black" w:hAnsi="Arial Black"/>
                <w:sz w:val="16"/>
              </w:rPr>
              <w:t>April 05-March 06 =    $3.69                      April 11-March 12 =   $4.94</w:t>
            </w:r>
          </w:p>
          <w:p>
            <w:pPr>
              <w:pStyle w:val="Normal"/>
              <w:widowControl/>
              <w:jc w:val="both"/>
              <w:rPr>
                <w:rFonts w:ascii="Arial Black" w:hAnsi="Arial Black" w:cs="Arial Black"/>
                <w:sz w:val="16"/>
              </w:rPr>
            </w:pPr>
            <w:r>
              <w:rPr>
                <w:rFonts w:cs="Arial Black" w:ascii="Arial Black" w:hAnsi="Arial Black"/>
                <w:sz w:val="16"/>
              </w:rPr>
              <w:t>April 06-March 07 =    $3.88                      April 12-March 13  =  $5.19</w:t>
            </w:r>
          </w:p>
          <w:p>
            <w:pPr>
              <w:pStyle w:val="Normal"/>
              <w:widowControl/>
              <w:jc w:val="both"/>
              <w:rPr>
                <w:rFonts w:ascii="Arial Black" w:hAnsi="Arial Black" w:cs="Arial Black"/>
                <w:sz w:val="16"/>
              </w:rPr>
            </w:pPr>
            <w:r>
              <w:rPr>
                <w:rFonts w:cs="Arial Black" w:ascii="Arial Black" w:hAnsi="Arial Black"/>
                <w:sz w:val="16"/>
              </w:rPr>
            </w:r>
          </w:p>
          <w:p>
            <w:pPr>
              <w:pStyle w:val="Normal"/>
              <w:widowControl/>
              <w:jc w:val="both"/>
              <w:rPr/>
            </w:pPr>
            <w:r>
              <w:rPr>
                <w:rFonts w:cs="Arial Black" w:ascii="Arial Black" w:hAnsi="Arial Black"/>
                <w:sz w:val="16"/>
                <w:u w:val="single"/>
              </w:rPr>
              <w:t>Base Price Adjustment</w:t>
            </w:r>
            <w:r>
              <w:rPr>
                <w:rFonts w:cs="Arial Black" w:ascii="Arial Black" w:hAnsi="Arial Black"/>
                <w:sz w:val="16"/>
              </w:rPr>
              <w:t xml:space="preserve"> – Each April, calculate the average of the prior 12 months Index Price (IF FGT Z2).  If the average is below the Base Price, then the following years Base Price is adjusted by subtracting the difference.  The Adjustment is “capped” at $.10/mmbtu.</w:t>
            </w:r>
          </w:p>
          <w:p>
            <w:pPr>
              <w:pStyle w:val="Normal"/>
              <w:widowControl/>
              <w:jc w:val="both"/>
              <w:rPr>
                <w:rFonts w:ascii="Arial Black" w:hAnsi="Arial Black" w:cs="Arial Black"/>
                <w:sz w:val="16"/>
              </w:rPr>
            </w:pPr>
            <w:r>
              <w:rPr>
                <w:rFonts w:cs="Arial Black" w:ascii="Arial Black" w:hAnsi="Arial Black"/>
                <w:sz w:val="16"/>
              </w:rPr>
            </w:r>
          </w:p>
        </w:tc>
      </w:tr>
      <w:tr>
        <w:trPr>
          <w:trHeight w:val="1872" w:hRule="atLeast"/>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Black" w:hAnsi="Arial Black" w:cs="Arial Black"/>
                <w:sz w:val="16"/>
              </w:rPr>
            </w:pPr>
            <w:r>
              <w:rPr>
                <w:rFonts w:cs="Arial Black" w:ascii="Arial Black" w:hAnsi="Arial Black"/>
                <w:sz w:val="16"/>
              </w:rPr>
            </w:r>
          </w:p>
          <w:p>
            <w:pPr>
              <w:pStyle w:val="Normal"/>
              <w:widowControl/>
              <w:jc w:val="both"/>
              <w:rPr>
                <w:rFonts w:ascii="Arial Black" w:hAnsi="Arial Black" w:cs="Arial Black"/>
                <w:sz w:val="16"/>
              </w:rPr>
            </w:pPr>
            <w:r>
              <w:rPr>
                <w:rFonts w:cs="Arial Black" w:ascii="Arial Black" w:hAnsi="Arial Black"/>
                <w:sz w:val="16"/>
              </w:rPr>
              <w:t>Quantity:</w:t>
            </w:r>
          </w:p>
          <w:p>
            <w:pPr>
              <w:pStyle w:val="Normal"/>
              <w:widowControl/>
              <w:jc w:val="both"/>
              <w:rPr>
                <w:rFonts w:ascii="Arial Black" w:hAnsi="Arial Black" w:cs="Arial Black"/>
                <w:sz w:val="16"/>
              </w:rPr>
            </w:pPr>
            <w:r>
              <w:rPr>
                <w:rFonts w:cs="Arial Black" w:ascii="Arial Black" w:hAnsi="Arial Black"/>
                <w:sz w:val="16"/>
              </w:rPr>
              <w:t>ARTICLE 2</w:t>
            </w:r>
          </w:p>
        </w:tc>
        <w:tc>
          <w:tcPr>
            <w:tcW w:w="8946"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Base DCQ (Daily Contract Quantity) = Oct-April 10,000 mmbtu/day and May-Sep 13,000 mmbtu/day</w:t>
            </w:r>
          </w:p>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 xml:space="preserve">Swing Gas = 0 </w:t>
            </w:r>
            <w:r>
              <w:rPr>
                <w:rFonts w:cs="Arial Black" w:ascii="Arial Black" w:hAnsi="Arial Black"/>
                <w:sz w:val="16"/>
                <w:u w:val="single"/>
              </w:rPr>
              <w:t>or</w:t>
            </w:r>
            <w:r>
              <w:rPr>
                <w:rFonts w:cs="Arial Black" w:ascii="Arial Black" w:hAnsi="Arial Black"/>
                <w:sz w:val="16"/>
              </w:rPr>
              <w:t xml:space="preserve"> 2,000 mmbtu/day (must take at least 35% or 255,500 mmbtu/year) </w:t>
            </w:r>
          </w:p>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If Seller (ENA) fails to make available the DCQ, ENA must pay a penalty which is calculated as the difference between market and the contract price (visa versa for Buyer default)</w:t>
            </w:r>
          </w:p>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If Buyer does not take 35% of Swing over a year, Buyer pays $.20 x deficiency quantity</w:t>
            </w:r>
          </w:p>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FOM Nomination is due 2 hours before pipeline deadline; intra-month nominations change notice due 2 hours prior to pipeline deadline.</w:t>
            </w:r>
          </w:p>
          <w:p>
            <w:pPr>
              <w:pStyle w:val="Normal"/>
              <w:widowControl/>
              <w:jc w:val="both"/>
              <w:rPr>
                <w:rFonts w:ascii="Arial Black" w:hAnsi="Arial Black" w:cs="Arial Black"/>
                <w:sz w:val="16"/>
              </w:rPr>
            </w:pPr>
            <w:r>
              <w:rPr>
                <w:rFonts w:cs="Arial Black" w:ascii="Arial Black" w:hAnsi="Arial Black"/>
                <w:sz w:val="16"/>
              </w:rPr>
            </w:r>
          </w:p>
        </w:tc>
      </w:tr>
      <w:tr>
        <w:trPr>
          <w:trHeight w:val="1425" w:hRule="atLeast"/>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Black" w:hAnsi="Arial Black" w:cs="Arial Black"/>
                <w:sz w:val="16"/>
              </w:rPr>
            </w:pPr>
            <w:r>
              <w:rPr>
                <w:rFonts w:cs="Arial Black" w:ascii="Arial Black" w:hAnsi="Arial Black"/>
                <w:sz w:val="16"/>
              </w:rPr>
            </w:r>
          </w:p>
          <w:p>
            <w:pPr>
              <w:pStyle w:val="Normal"/>
              <w:widowControl/>
              <w:jc w:val="both"/>
              <w:rPr>
                <w:rFonts w:ascii="Arial Black" w:hAnsi="Arial Black" w:cs="Arial Black"/>
                <w:sz w:val="16"/>
              </w:rPr>
            </w:pPr>
            <w:r>
              <w:rPr>
                <w:rFonts w:cs="Arial Black" w:ascii="Arial Black" w:hAnsi="Arial Black"/>
                <w:sz w:val="16"/>
              </w:rPr>
              <w:t>Notice/Default/Right to Cure:</w:t>
            </w:r>
          </w:p>
          <w:p>
            <w:pPr>
              <w:pStyle w:val="Normal"/>
              <w:widowControl/>
              <w:jc w:val="both"/>
              <w:rPr>
                <w:rFonts w:ascii="Arial Black" w:hAnsi="Arial Black" w:cs="Arial Black"/>
                <w:sz w:val="16"/>
              </w:rPr>
            </w:pPr>
            <w:r>
              <w:rPr>
                <w:rFonts w:cs="Arial Black" w:ascii="Arial Black" w:hAnsi="Arial Black"/>
                <w:sz w:val="16"/>
              </w:rPr>
              <w:t>ARTICLE 12</w:t>
            </w:r>
          </w:p>
        </w:tc>
        <w:tc>
          <w:tcPr>
            <w:tcW w:w="8946"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Non defaulting party must notify with in 60 days of default</w:t>
            </w:r>
          </w:p>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Defaulting Party has 30 days in which to remedy or remove the cause after receiving notice from the non-defaulting party</w:t>
            </w:r>
          </w:p>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If after 30 days from notice the Defaulting Party has not cured, then at the option of the Non-Defaulting party, the contract may be become null and void</w:t>
            </w:r>
          </w:p>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IF SELLER TERMINATES: Seller must cover “Buyer’s obligation”; cover means market prices vs. the contracted price.</w:t>
            </w:r>
          </w:p>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IF BUYER TERMINATES: Buyer must mitigate losses; Seller pays Buyer difference between Contract and Market.</w:t>
            </w:r>
          </w:p>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A dispute regarding this Article will be handled in arbitration as outlined in Article 16 (AAA-3 panel)</w:t>
            </w:r>
          </w:p>
          <w:p>
            <w:pPr>
              <w:pStyle w:val="Normal"/>
              <w:widowControl/>
              <w:jc w:val="both"/>
              <w:rPr>
                <w:rFonts w:ascii="Arial Black" w:hAnsi="Arial Black" w:cs="Arial Black"/>
                <w:sz w:val="16"/>
              </w:rPr>
            </w:pPr>
            <w:r>
              <w:rPr>
                <w:rFonts w:cs="Arial Black" w:ascii="Arial Black" w:hAnsi="Arial Black"/>
                <w:sz w:val="16"/>
              </w:rPr>
            </w:r>
          </w:p>
        </w:tc>
      </w:tr>
      <w:tr>
        <w:trPr>
          <w:trHeight w:val="840" w:hRule="atLeast"/>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Black" w:hAnsi="Arial Black" w:cs="Arial Black"/>
                <w:sz w:val="16"/>
              </w:rPr>
            </w:pPr>
            <w:r>
              <w:rPr>
                <w:rFonts w:cs="Arial Black" w:ascii="Arial Black" w:hAnsi="Arial Black"/>
                <w:sz w:val="16"/>
              </w:rPr>
              <w:t>Assignment:</w:t>
            </w:r>
          </w:p>
          <w:p>
            <w:pPr>
              <w:pStyle w:val="Normal"/>
              <w:widowControl/>
              <w:jc w:val="both"/>
              <w:rPr>
                <w:rFonts w:ascii="Arial Black" w:hAnsi="Arial Black" w:cs="Arial Black"/>
                <w:sz w:val="16"/>
              </w:rPr>
            </w:pPr>
            <w:r>
              <w:rPr>
                <w:rFonts w:cs="Arial Black" w:ascii="Arial Black" w:hAnsi="Arial Black"/>
                <w:sz w:val="16"/>
              </w:rPr>
              <w:t>ARTICLE 14</w:t>
            </w:r>
          </w:p>
        </w:tc>
        <w:tc>
          <w:tcPr>
            <w:tcW w:w="8946"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Assignable to Affiliates and similar credit worthiness companies without approval</w:t>
            </w:r>
          </w:p>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Otherwise, must get prior written consent, not to be unreasonably withheld</w:t>
            </w:r>
          </w:p>
          <w:p>
            <w:pPr>
              <w:pStyle w:val="Normal"/>
              <w:widowControl/>
              <w:ind w:start="-108" w:end="0"/>
              <w:jc w:val="both"/>
              <w:rPr>
                <w:rFonts w:ascii="Arial Black" w:hAnsi="Arial Black" w:cs="Arial Black"/>
                <w:sz w:val="16"/>
              </w:rPr>
            </w:pPr>
            <w:r>
              <w:rPr>
                <w:rFonts w:cs="Arial Black" w:ascii="Arial Black" w:hAnsi="Arial Black"/>
                <w:sz w:val="16"/>
              </w:rPr>
            </w:r>
          </w:p>
        </w:tc>
      </w:tr>
    </w:tbl>
    <w:p>
      <w:pPr>
        <w:pStyle w:val="Normal"/>
        <w:rPr/>
      </w:pPr>
      <w:r>
        <w:rPr/>
      </w:r>
    </w:p>
    <w:tbl>
      <w:tblPr>
        <w:tblpPr w:vertAnchor="text" w:horzAnchor="margin" w:rightFromText="180" w:tblpX="7" w:tblpY="80"/>
        <w:tblOverlap w:val="never"/>
        <w:tblW w:w="11304" w:type="dxa"/>
        <w:jc w:val="start"/>
        <w:tblInd w:w="108" w:type="dxa"/>
        <w:tblLayout w:type="fixed"/>
        <w:tblCellMar>
          <w:top w:w="0" w:type="dxa"/>
          <w:start w:w="108" w:type="dxa"/>
          <w:bottom w:w="0" w:type="dxa"/>
          <w:end w:w="108" w:type="dxa"/>
        </w:tblCellMar>
      </w:tblPr>
      <w:tblGrid>
        <w:gridCol w:w="2358"/>
        <w:gridCol w:w="8946"/>
      </w:tblGrid>
      <w:tr>
        <w:trPr>
          <w:trHeight w:val="1590" w:hRule="atLeast"/>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Black" w:hAnsi="Arial Black" w:cs="Arial Black"/>
                <w:sz w:val="16"/>
              </w:rPr>
            </w:pPr>
            <w:r>
              <w:rPr>
                <w:rFonts w:cs="Arial Black" w:ascii="Arial Black" w:hAnsi="Arial Black"/>
                <w:sz w:val="16"/>
              </w:rPr>
              <w:t>Current Status:</w:t>
            </w:r>
          </w:p>
        </w:tc>
        <w:tc>
          <w:tcPr>
            <w:tcW w:w="8946"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 xml:space="preserve">ENA cured 27 days of default on December 28 by delivering gas it had secured via pre-paying Dominion </w:t>
            </w:r>
          </w:p>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Received Letter on 12/2701 confirming Tallahassee’s willingness to accept gas, but not prejudice to any claim they may have under Article 12</w:t>
            </w:r>
          </w:p>
          <w:p>
            <w:pPr>
              <w:pStyle w:val="Normal"/>
              <w:widowControl/>
              <w:numPr>
                <w:ilvl w:val="0"/>
                <w:numId w:val="2"/>
              </w:numPr>
              <w:tabs>
                <w:tab w:val="clear" w:pos="720"/>
              </w:tabs>
              <w:ind w:hanging="360" w:start="252" w:end="0"/>
              <w:jc w:val="both"/>
              <w:rPr>
                <w:rFonts w:ascii="Arial Black" w:hAnsi="Arial Black" w:cs="Arial Black"/>
                <w:sz w:val="16"/>
              </w:rPr>
            </w:pPr>
            <w:r>
              <w:rPr>
                <w:rFonts w:cs="Arial Black" w:ascii="Arial Black" w:hAnsi="Arial Black"/>
                <w:sz w:val="16"/>
              </w:rPr>
              <w:t>ENA is continuing to perform by prepaying Dominion (paid $603k for Jan-02 and will pay $603k for Feb-02) and selling to Tallahassee</w:t>
            </w:r>
          </w:p>
          <w:p>
            <w:pPr>
              <w:pStyle w:val="Normal"/>
              <w:widowControl/>
              <w:ind w:start="-108" w:end="0"/>
              <w:jc w:val="both"/>
              <w:rPr>
                <w:rFonts w:ascii="Arial Black" w:hAnsi="Arial Black" w:cs="Arial Black"/>
                <w:sz w:val="16"/>
              </w:rPr>
            </w:pPr>
            <w:r>
              <w:rPr>
                <w:rFonts w:cs="Arial Black" w:ascii="Arial Black" w:hAnsi="Arial Black"/>
                <w:sz w:val="16"/>
              </w:rPr>
            </w:r>
          </w:p>
        </w:tc>
      </w:tr>
      <w:tr>
        <w:trPr>
          <w:trHeight w:val="522" w:hRule="atLeast"/>
        </w:trPr>
        <w:tc>
          <w:tcPr>
            <w:tcW w:w="235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Black" w:hAnsi="Arial Black" w:cs="Arial Black"/>
                <w:sz w:val="16"/>
              </w:rPr>
            </w:pPr>
            <w:r>
              <w:rPr>
                <w:rFonts w:cs="Arial Black" w:ascii="Arial Black" w:hAnsi="Arial Black"/>
                <w:sz w:val="16"/>
              </w:rPr>
              <w:t>Issues/Risks</w:t>
            </w:r>
          </w:p>
        </w:tc>
        <w:tc>
          <w:tcPr>
            <w:tcW w:w="8946" w:type="dxa"/>
            <w:tcBorders>
              <w:top w:val="single" w:sz="6" w:space="0" w:color="000000"/>
              <w:start w:val="single" w:sz="6" w:space="0" w:color="000000"/>
              <w:bottom w:val="single" w:sz="6" w:space="0" w:color="000000"/>
              <w:end w:val="single" w:sz="6" w:space="0" w:color="000000"/>
            </w:tcBorders>
          </w:tcPr>
          <w:p>
            <w:pPr>
              <w:pStyle w:val="Normal"/>
              <w:widowControl/>
              <w:numPr>
                <w:ilvl w:val="0"/>
                <w:numId w:val="3"/>
              </w:numPr>
              <w:tabs>
                <w:tab w:val="clear" w:pos="720"/>
              </w:tabs>
              <w:ind w:hanging="270" w:start="180" w:end="0"/>
              <w:jc w:val="both"/>
              <w:rPr>
                <w:rFonts w:ascii="Arial Black" w:hAnsi="Arial Black" w:cs="Arial Black"/>
                <w:sz w:val="16"/>
              </w:rPr>
            </w:pPr>
            <w:r>
              <w:rPr>
                <w:rFonts w:cs="Arial Black" w:ascii="Arial Black" w:hAnsi="Arial Black"/>
                <w:sz w:val="16"/>
              </w:rPr>
              <w:t>ENA appears to be in violation of Article 17 which requires the Swing Gas to be supplied by a Minority Business Enterprise (“MBE”) – Was originally Hesse Gas Co in Houston – can replace them as long as COT approves.</w:t>
            </w:r>
          </w:p>
        </w:tc>
      </w:tr>
    </w:tbl>
    <w:p>
      <w:pPr>
        <w:pStyle w:val="Normal"/>
        <w:widowControl/>
        <w:rPr/>
      </w:pPr>
      <w:r>
        <w:rPr/>
      </w:r>
    </w:p>
    <w:sectPr>
      <w:headerReference w:type="default" r:id="rId2"/>
      <w:footerReference w:type="default" r:id="rId3"/>
      <w:type w:val="nextPage"/>
      <w:pgSz w:w="12240" w:h="15840"/>
      <w:pgMar w:left="576" w:right="576"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fldChar w:fldCharType="begin"/>
    </w:r>
    <w:r>
      <w:rPr/>
      <w:instrText xml:space="preserve"> FILENAME \p </w:instrText>
    </w:r>
    <w:r>
      <w:rPr/>
      <w:fldChar w:fldCharType="separate"/>
    </w:r>
    <w:r>
      <w:rPr/>
      <w:t>/mnt/main-storage/datasets/enron-docs/doc/Tallahassee_Contract_Brief.doc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 xml:space="preserve">REVIEWED BY:  Eric Boyt  </w:t>
    </w:r>
  </w:p>
  <w:p>
    <w:pPr>
      <w:pStyle w:val="Header"/>
      <w:rPr>
        <w:b/>
      </w:rPr>
    </w:pPr>
    <w:r>
      <w:rPr>
        <w:b/>
      </w:rPr>
      <w:t>DATE:         1/29/02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rFonts w:ascii="Arial Black" w:hAnsi="Arial Black" w:cs="Arial Black"/>
      <w:sz w:val="28"/>
    </w:rPr>
  </w:style>
  <w:style w:type="paragraph" w:styleId="Heading2">
    <w:name w:val="heading 2"/>
    <w:basedOn w:val="Normal"/>
    <w:next w:val="Normal"/>
    <w:qFormat/>
    <w:pPr>
      <w:keepNext w:val="true"/>
      <w:widowControl/>
      <w:numPr>
        <w:ilvl w:val="1"/>
        <w:numId w:val="1"/>
      </w:numPr>
      <w:jc w:val="both"/>
      <w:outlineLvl w:val="1"/>
    </w:pPr>
    <w:rPr>
      <w:rFonts w:ascii="Arial Black" w:hAnsi="Arial Black" w:cs="Arial Black"/>
      <w:sz w:val="16"/>
      <w:u w:val="single"/>
    </w:rPr>
  </w:style>
  <w:style w:type="paragraph" w:styleId="Heading3">
    <w:name w:val="heading 3"/>
    <w:basedOn w:val="Normal"/>
    <w:next w:val="Normal"/>
    <w:qFormat/>
    <w:pPr>
      <w:keepNext w:val="true"/>
      <w:widowControl/>
      <w:numPr>
        <w:ilvl w:val="2"/>
        <w:numId w:val="1"/>
      </w:numPr>
      <w:jc w:val="center"/>
      <w:outlineLvl w:val="2"/>
    </w:pPr>
    <w:rPr>
      <w:rFonts w:ascii="Arial Black" w:hAnsi="Arial Black" w:cs="Arial Black"/>
      <w:sz w:val="32"/>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widowControl/>
      <w:jc w:val="center"/>
    </w:pPr>
    <w:rPr>
      <w:rFonts w:ascii="Arial Black" w:hAnsi="Arial Black" w:cs="Arial Black"/>
      <w:sz w:val="16"/>
      <w:u w:val="single"/>
    </w:rPr>
  </w:style>
  <w:style w:type="paragraph" w:styleId="BodyText">
    <w:name w:val="Body Text"/>
    <w:basedOn w:val="Normal"/>
    <w:pPr>
      <w:widowControl/>
      <w:jc w:val="both"/>
    </w:pPr>
    <w:rPr>
      <w:rFonts w:ascii="Arial Black" w:hAnsi="Arial Black" w:cs="Arial Black"/>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jc w:val="both"/>
    </w:pPr>
    <w:rPr>
      <w:rFonts w:ascii="Arial Black" w:hAnsi="Arial Black" w:cs="Arial Black"/>
      <w:color w:val="0000FF"/>
      <w:sz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2002-01-28T23:12:00Z</dcterms:created>
  <dc:creator>Eric Boyt</dc:creator>
  <dc:description/>
  <dc:language>en-CA</dc:language>
  <cp:lastModifiedBy>Eric Boyt</cp:lastModifiedBy>
  <cp:lastPrinted>2002-01-29T08:30:00Z</cp:lastPrinted>
  <dcterms:modified xsi:type="dcterms:W3CDTF">2002-01-29T12:00:00Z</dcterms:modified>
  <cp:revision>15</cp:revision>
  <dc:subject/>
  <dc:title>Counterparty:</dc:title>
</cp:coreProperties>
</file>