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720" w:end="0"/>
        <w:jc w:val="center"/>
        <w:rPr>
          <w:rFonts w:ascii="Arial" w:hAnsi="Arial" w:cs="Arial"/>
          <w:sz w:val="22"/>
        </w:rPr>
      </w:pPr>
      <w:r>
        <w:rPr>
          <w:rFonts w:cs="Arial" w:ascii="Arial" w:hAnsi="Arial"/>
          <w:sz w:val="22"/>
        </w:rPr>
        <w:t>Administration Talking Points on National Energy Policy</w:t>
      </w:r>
    </w:p>
    <w:p>
      <w:pPr>
        <w:pStyle w:val="Heading1"/>
        <w:ind w:hanging="0" w:start="-720" w:end="0"/>
        <w:rPr>
          <w:rFonts w:ascii="Arial" w:hAnsi="Arial" w:cs="Arial"/>
          <w:sz w:val="20"/>
        </w:rPr>
      </w:pPr>
      <w:r>
        <w:rPr>
          <w:rFonts w:cs="Arial" w:ascii="Arial" w:hAnsi="Arial"/>
          <w:sz w:val="20"/>
        </w:rPr>
      </w:r>
    </w:p>
    <w:p>
      <w:pPr>
        <w:pStyle w:val="Heading1"/>
        <w:ind w:hanging="0" w:start="-720" w:end="0"/>
        <w:rPr>
          <w:rFonts w:ascii="Arial" w:hAnsi="Arial" w:cs="Arial"/>
          <w:sz w:val="20"/>
        </w:rPr>
      </w:pPr>
      <w:r>
        <w:rPr>
          <w:rFonts w:cs="Arial" w:ascii="Arial" w:hAnsi="Arial"/>
          <w:sz w:val="20"/>
        </w:rPr>
        <w:t>Overview</w:t>
      </w:r>
    </w:p>
    <w:p>
      <w:pPr>
        <w:pStyle w:val="Normal"/>
        <w:numPr>
          <w:ilvl w:val="0"/>
          <w:numId w:val="4"/>
        </w:numPr>
        <w:tabs>
          <w:tab w:val="left" w:pos="720" w:leader="none"/>
        </w:tabs>
        <w:rPr>
          <w:rFonts w:ascii="Arial" w:hAnsi="Arial" w:cs="Arial"/>
          <w:sz w:val="20"/>
        </w:rPr>
      </w:pPr>
      <w:r>
        <w:rPr>
          <w:rFonts w:cs="Arial" w:ascii="Arial" w:hAnsi="Arial"/>
          <w:sz w:val="20"/>
        </w:rPr>
        <w:t>There has never been a better political environment for governmental action to promote open access and competition in electricity markets.  The current energy crisis clearly illustrates the need for more openness of markets and competition to address the supply and demand problems facing the U.S.</w:t>
      </w:r>
    </w:p>
    <w:p>
      <w:pPr>
        <w:pStyle w:val="Normal"/>
        <w:numPr>
          <w:ilvl w:val="0"/>
          <w:numId w:val="4"/>
        </w:numPr>
        <w:rPr>
          <w:rFonts w:ascii="Arial" w:hAnsi="Arial" w:cs="Arial"/>
          <w:sz w:val="20"/>
        </w:rPr>
      </w:pPr>
      <w:r>
        <w:rPr>
          <w:rFonts w:cs="Arial" w:ascii="Arial" w:hAnsi="Arial"/>
          <w:sz w:val="20"/>
        </w:rPr>
        <w:t>The Bush Administration needs to seize the moment and take bold action to address our nation’s energy problems.  Failure to act strongly will result in the Administration taking ownership of the problems, rather than being seen as acting to correct the mess created by others.  With the significant likelihood of other California-like situations in the future, a strong proposal is the best way to seize control of this issue.  These steps should be taken as soon as possible.</w:t>
      </w:r>
    </w:p>
    <w:p>
      <w:pPr>
        <w:pStyle w:val="Normal"/>
        <w:numPr>
          <w:ilvl w:val="0"/>
          <w:numId w:val="4"/>
        </w:numPr>
        <w:rPr>
          <w:rFonts w:ascii="Arial" w:hAnsi="Arial" w:cs="Arial"/>
          <w:sz w:val="20"/>
        </w:rPr>
      </w:pPr>
      <w:r>
        <w:rPr>
          <w:rFonts w:cs="Arial" w:ascii="Arial" w:hAnsi="Arial"/>
          <w:sz w:val="20"/>
        </w:rPr>
        <w:t xml:space="preserve">As Governor Davis’ actions illustrate, half steps simply do not work.  The Administration should push FERC to be more doctrinaire and assertive in dealing with these issues.  </w:t>
      </w:r>
    </w:p>
    <w:p>
      <w:pPr>
        <w:pStyle w:val="Normal"/>
        <w:numPr>
          <w:ilvl w:val="0"/>
          <w:numId w:val="4"/>
        </w:numPr>
        <w:rPr>
          <w:rFonts w:ascii="Arial" w:hAnsi="Arial" w:cs="Arial"/>
          <w:sz w:val="20"/>
        </w:rPr>
      </w:pPr>
      <w:r>
        <w:rPr>
          <w:rFonts w:cs="Arial" w:ascii="Arial" w:hAnsi="Arial"/>
          <w:sz w:val="20"/>
        </w:rPr>
        <w:t>For example, in the first Bush Administration, FERC acted boldly with Order No. 636 to promote competition in the natural gas market.  FERC must be equally forceful in the electricity market to require open access and promote competition.</w:t>
      </w:r>
    </w:p>
    <w:p>
      <w:pPr>
        <w:pStyle w:val="Normal"/>
        <w:ind w:start="-360" w:end="0"/>
        <w:rPr>
          <w:rFonts w:ascii="Arial" w:hAnsi="Arial" w:cs="Arial"/>
          <w:sz w:val="20"/>
        </w:rPr>
      </w:pPr>
      <w:r>
        <w:rPr>
          <w:rFonts w:cs="Arial" w:ascii="Arial" w:hAnsi="Arial"/>
          <w:sz w:val="20"/>
        </w:rPr>
      </w:r>
    </w:p>
    <w:p>
      <w:pPr>
        <w:pStyle w:val="Heading1"/>
        <w:ind w:hanging="720" w:start="0" w:end="0"/>
        <w:rPr>
          <w:rFonts w:ascii="Arial" w:hAnsi="Arial" w:cs="Arial"/>
          <w:sz w:val="20"/>
        </w:rPr>
      </w:pPr>
      <w:r>
        <w:rPr>
          <w:rFonts w:cs="Arial" w:ascii="Arial" w:hAnsi="Arial"/>
          <w:sz w:val="20"/>
        </w:rPr>
        <w:t>Specific Issues</w:t>
      </w:r>
    </w:p>
    <w:p>
      <w:pPr>
        <w:pStyle w:val="Normal"/>
        <w:numPr>
          <w:ilvl w:val="0"/>
          <w:numId w:val="2"/>
        </w:numPr>
        <w:rPr>
          <w:rFonts w:ascii="Arial" w:hAnsi="Arial" w:cs="Arial"/>
          <w:sz w:val="20"/>
        </w:rPr>
      </w:pPr>
      <w:r>
        <w:rPr>
          <w:rFonts w:cs="Arial" w:ascii="Arial" w:hAnsi="Arial"/>
          <w:sz w:val="20"/>
        </w:rPr>
        <w:t>FERC must take action to bring the benefits of competition in electricity markets to consumers, improve reliability and develop ways to identify and eliminate market power, thus avoiding further crisis situations like California.</w:t>
      </w:r>
    </w:p>
    <w:p>
      <w:pPr>
        <w:pStyle w:val="Normal"/>
        <w:numPr>
          <w:ilvl w:val="0"/>
          <w:numId w:val="2"/>
        </w:numPr>
        <w:rPr>
          <w:rFonts w:ascii="Arial" w:hAnsi="Arial" w:cs="Arial"/>
          <w:sz w:val="20"/>
        </w:rPr>
      </w:pPr>
      <w:r>
        <w:rPr>
          <w:rFonts w:cs="Arial" w:ascii="Arial" w:hAnsi="Arial"/>
          <w:sz w:val="20"/>
        </w:rPr>
        <w:t>To achieve robust competition in wholesale power markets, the FERC must actively exercise jurisdiction over all aspects of electricity transmission in interstate commerce and place all uses of the grid under the same rates, terms, and conditions, regardless of whether the transmission service is bundled together with retail sales.  This jurisdiction must be extended to cover non-FERC jurisdiction authorities, like the federal, state and municipal entities.</w:t>
      </w:r>
    </w:p>
    <w:p>
      <w:pPr>
        <w:pStyle w:val="Normal"/>
        <w:numPr>
          <w:ilvl w:val="0"/>
          <w:numId w:val="2"/>
        </w:numPr>
        <w:rPr>
          <w:rFonts w:ascii="Arial" w:hAnsi="Arial" w:cs="Arial"/>
          <w:sz w:val="20"/>
        </w:rPr>
      </w:pPr>
      <w:r>
        <w:rPr>
          <w:rFonts w:cs="Arial" w:ascii="Arial" w:hAnsi="Arial"/>
          <w:sz w:val="20"/>
        </w:rPr>
        <w:t>FERC must develop and enforce standardized, non-discriminatory interconnection procedures.</w:t>
      </w:r>
    </w:p>
    <w:p>
      <w:pPr>
        <w:pStyle w:val="Normal"/>
        <w:numPr>
          <w:ilvl w:val="0"/>
          <w:numId w:val="2"/>
        </w:numPr>
        <w:rPr>
          <w:rFonts w:ascii="Arial" w:hAnsi="Arial" w:cs="Arial"/>
          <w:sz w:val="20"/>
        </w:rPr>
      </w:pPr>
      <w:r>
        <w:rPr>
          <w:rFonts w:cs="Arial" w:ascii="Arial" w:hAnsi="Arial"/>
          <w:sz w:val="20"/>
        </w:rPr>
        <w:t xml:space="preserve">Enron strongly supports FERC’s efforts to develop Regional Transmission Organizations (RTOs) because, if structured properly, they will enhance reliability, commercial activities and competition.  FERC should approve only those RTOs with sufficient size and scope and with non-discriminatory terms and conditions for access; and require that all transmission owners participate in an RTO.  </w:t>
      </w:r>
    </w:p>
    <w:p>
      <w:pPr>
        <w:pStyle w:val="Normal"/>
        <w:numPr>
          <w:ilvl w:val="0"/>
          <w:numId w:val="3"/>
        </w:numPr>
        <w:rPr>
          <w:rFonts w:ascii="Arial" w:hAnsi="Arial" w:cs="Arial"/>
          <w:sz w:val="20"/>
        </w:rPr>
      </w:pPr>
      <w:r>
        <w:rPr>
          <w:rFonts w:cs="Arial" w:ascii="Arial" w:hAnsi="Arial"/>
          <w:sz w:val="20"/>
        </w:rPr>
        <w:t>Legislation should be passed to create a new “Independent Reliability Organization” (“IRO”) to develop and enforce reliability standards.</w:t>
      </w:r>
    </w:p>
    <w:p>
      <w:pPr>
        <w:pStyle w:val="Normal"/>
        <w:numPr>
          <w:ilvl w:val="0"/>
          <w:numId w:val="3"/>
        </w:numPr>
        <w:rPr>
          <w:rFonts w:ascii="Arial" w:hAnsi="Arial" w:cs="Arial"/>
          <w:sz w:val="20"/>
        </w:rPr>
      </w:pPr>
      <w:r>
        <w:rPr>
          <w:rFonts w:cs="Arial" w:ascii="Arial" w:hAnsi="Arial"/>
          <w:sz w:val="20"/>
        </w:rPr>
        <w:t xml:space="preserve">Proposals for price caps or cost-of-service ratemaking should be rejected because they will be detrimental to power markets and discourage investment in new supply in covered areas.  </w:t>
      </w:r>
    </w:p>
    <w:p>
      <w:pPr>
        <w:pStyle w:val="Normal"/>
        <w:numPr>
          <w:ilvl w:val="0"/>
          <w:numId w:val="3"/>
        </w:numPr>
        <w:rPr>
          <w:rFonts w:ascii="Arial" w:hAnsi="Arial" w:cs="Arial"/>
          <w:sz w:val="20"/>
        </w:rPr>
      </w:pPr>
      <w:r>
        <w:rPr>
          <w:rFonts w:cs="Arial" w:ascii="Arial" w:hAnsi="Arial"/>
          <w:sz w:val="20"/>
        </w:rPr>
        <w:t>Rather than intervening in the markets by way of price caps, the most effective way to lower prices is to provide for federal siting and permitting authority for the construction of new transmission and generation facilities, which will limit the ability of transmission owners to interfere with the flow of electricity in interstate commerce.</w:t>
      </w:r>
    </w:p>
    <w:p>
      <w:pPr>
        <w:pStyle w:val="Normal"/>
        <w:numPr>
          <w:ilvl w:val="0"/>
          <w:numId w:val="3"/>
        </w:numPr>
        <w:rPr>
          <w:rFonts w:ascii="Arial" w:hAnsi="Arial" w:cs="Arial"/>
          <w:sz w:val="20"/>
        </w:rPr>
      </w:pPr>
      <w:r>
        <w:rPr>
          <w:rFonts w:cs="Arial" w:ascii="Arial" w:hAnsi="Arial"/>
          <w:sz w:val="20"/>
        </w:rPr>
        <w:t>The Administration should mandate the creation of a regional demand exchange to allow for competition in the reduction of demand by large consumers.</w:t>
      </w:r>
    </w:p>
    <w:p>
      <w:pPr>
        <w:pStyle w:val="Normal"/>
        <w:numPr>
          <w:ilvl w:val="0"/>
          <w:numId w:val="4"/>
        </w:numPr>
        <w:rPr>
          <w:rFonts w:ascii="Arial" w:hAnsi="Arial" w:cs="Arial"/>
          <w:sz w:val="20"/>
        </w:rPr>
      </w:pPr>
      <w:r>
        <w:rPr>
          <w:rFonts w:cs="Arial" w:ascii="Arial" w:hAnsi="Arial"/>
          <w:sz w:val="20"/>
        </w:rPr>
        <w:t>Federal solutions should also be implemented in conjunction with decisive state action that ensures workably competitive retail electric markets.</w:t>
      </w:r>
    </w:p>
    <w:p>
      <w:pPr>
        <w:pStyle w:val="Normal"/>
        <w:numPr>
          <w:ilvl w:val="0"/>
          <w:numId w:val="3"/>
        </w:numPr>
        <w:rPr>
          <w:rFonts w:ascii="Arial" w:hAnsi="Arial" w:cs="Arial"/>
          <w:sz w:val="20"/>
        </w:rPr>
      </w:pPr>
      <w:r>
        <w:rPr>
          <w:rFonts w:cs="Arial" w:ascii="Arial" w:hAnsi="Arial"/>
          <w:sz w:val="20"/>
        </w:rPr>
        <w:t>The Administration should use the Bully Pulpit to convince the public and state lawmakers that discernable conumer benefits can be achieved through electricity deregulation, but only if the states proactively encourage the developmenet of distributed generation and demand side management programs.  These empowerment programs will also help state regulators counteract existing market power.</w:t>
      </w:r>
    </w:p>
    <w:sectPr>
      <w:type w:val="nextPage"/>
      <w:pgSz w:w="12240" w:h="15840"/>
      <w:pgMar w:left="144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0"/>
        </w:tabs>
        <w:ind w:start="0" w:hanging="360"/>
      </w:pPr>
      <w:rPr>
        <w:rFonts w:ascii="Symbol" w:hAnsi="Symbol" w:cs="Symbol" w:hint="default"/>
      </w:rPr>
    </w:lvl>
  </w:abstractNum>
  <w:abstractNum w:abstractNumId="3">
    <w:lvl w:ilvl="0">
      <w:start w:val="1"/>
      <w:numFmt w:val="bullet"/>
      <w:lvlText w:val=""/>
      <w:lvlJc w:val="start"/>
      <w:pPr>
        <w:tabs>
          <w:tab w:val="num" w:pos="0"/>
        </w:tabs>
        <w:ind w:start="0" w:hanging="360"/>
      </w:pPr>
      <w:rPr>
        <w:rFonts w:ascii="Symbol" w:hAnsi="Symbol" w:cs="Symbol" w:hint="default"/>
      </w:rPr>
    </w:lvl>
  </w:abstractNum>
  <w:abstractNum w:abstractNumId="4">
    <w:lvl w:ilvl="0">
      <w:start w:val="1"/>
      <w:numFmt w:val="bullet"/>
      <w:lvlText w:val=""/>
      <w:lvlJc w:val="start"/>
      <w:pPr>
        <w:tabs>
          <w:tab w:val="num" w:pos="0"/>
        </w:tabs>
        <w:ind w:start="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2001-04-05T10:19:00Z</dcterms:created>
  <dc:creator>snovose</dc:creator>
  <dc:description/>
  <dc:language>en-CA</dc:language>
  <cp:lastModifiedBy>lsulliv</cp:lastModifiedBy>
  <dcterms:modified xsi:type="dcterms:W3CDTF">2001-04-05T10:37:00Z</dcterms:modified>
  <cp:revision>6</cp:revision>
  <dc:subject/>
  <dc:title>Administration Talking Points on National Energy Policy</dc:title>
</cp:coreProperties>
</file>