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Talking Points for NETCO Employees</w:t>
      </w:r>
    </w:p>
    <w:p>
      <w:pPr>
        <w:pStyle w:val="Normal"/>
        <w:jc w:val="center"/>
        <w:rPr>
          <w:b/>
          <w:bCs/>
          <w:u w:val="single"/>
        </w:rPr>
      </w:pPr>
      <w:r>
        <w:rPr>
          <w:b/>
          <w:bCs/>
          <w:u w:val="single"/>
        </w:rPr>
      </w:r>
    </w:p>
    <w:p>
      <w:pPr>
        <w:pStyle w:val="Normal"/>
        <w:jc w:val="center"/>
        <w:rPr>
          <w:b/>
          <w:bCs/>
          <w:u w:val="single"/>
        </w:rPr>
      </w:pPr>
      <w:r>
        <w:rPr>
          <w:b/>
          <w:bCs/>
          <w:u w:val="single"/>
        </w:rPr>
      </w:r>
    </w:p>
    <w:p>
      <w:pPr>
        <w:pStyle w:val="Normal"/>
        <w:numPr>
          <w:ilvl w:val="0"/>
          <w:numId w:val="1"/>
        </w:numPr>
        <w:autoSpaceDE w:val="false"/>
        <w:rPr/>
      </w:pPr>
      <w:r>
        <w:rPr/>
        <w:t xml:space="preserve">As communicated in the December 19 OOTC email, NETCO is the company formed to re-build the North American gas and power business under different ownership.  </w:t>
      </w:r>
    </w:p>
    <w:p>
      <w:pPr>
        <w:pStyle w:val="Normal"/>
        <w:numPr>
          <w:ilvl w:val="0"/>
          <w:numId w:val="1"/>
        </w:numPr>
        <w:autoSpaceDE w:val="false"/>
        <w:rPr/>
      </w:pPr>
      <w:r>
        <w:rPr/>
        <w:t>You have been identified as an individual who has the opportunity to go to NETCO once it is formed.</w:t>
      </w:r>
    </w:p>
    <w:p>
      <w:pPr>
        <w:pStyle w:val="Normal"/>
        <w:numPr>
          <w:ilvl w:val="0"/>
          <w:numId w:val="1"/>
        </w:numPr>
        <w:autoSpaceDE w:val="false"/>
        <w:rPr/>
      </w:pPr>
      <w:r>
        <w:rPr/>
        <w:t xml:space="preserve">We filed with the bankruptcy court Wednesday and agreed on auction procedures to allow bidders to bid for a share of NETCO.  It is our expectation that Enron would retain a 49 percent (or perhaps less) non-controlling interest in NETCO.  </w:t>
      </w:r>
    </w:p>
    <w:p>
      <w:pPr>
        <w:pStyle w:val="Normal"/>
        <w:numPr>
          <w:ilvl w:val="0"/>
          <w:numId w:val="1"/>
        </w:numPr>
        <w:autoSpaceDE w:val="false"/>
        <w:rPr/>
      </w:pPr>
      <w:r>
        <w:rPr/>
        <w:t>We hope that the deal will close by January 10 - 11, 2002.</w:t>
      </w:r>
    </w:p>
    <w:p>
      <w:pPr>
        <w:pStyle w:val="Normal"/>
        <w:numPr>
          <w:ilvl w:val="0"/>
          <w:numId w:val="1"/>
        </w:numPr>
        <w:autoSpaceDE w:val="false"/>
        <w:rPr/>
      </w:pPr>
      <w:r>
        <w:rPr/>
        <w:t xml:space="preserve">Until then, you remain Enron employees.  During this transition, some of you may be asked to work on estate matters, and we expect your full cooperation and assistance in that regard. </w:t>
      </w:r>
    </w:p>
    <w:p>
      <w:pPr>
        <w:pStyle w:val="Normal"/>
        <w:numPr>
          <w:ilvl w:val="0"/>
          <w:numId w:val="1"/>
        </w:numPr>
        <w:autoSpaceDE w:val="false"/>
        <w:rPr/>
      </w:pPr>
      <w:r>
        <w:rPr/>
        <w:t>The deal currently proposes that the winning bidder provide NETCO employees with, at a minimum:</w:t>
      </w:r>
    </w:p>
    <w:p>
      <w:pPr>
        <w:pStyle w:val="Normal"/>
        <w:numPr>
          <w:ilvl w:val="1"/>
          <w:numId w:val="3"/>
        </w:numPr>
        <w:autoSpaceDE w:val="false"/>
        <w:rPr/>
      </w:pPr>
      <w:r>
        <w:rPr/>
        <w:t>Same salary</w:t>
      </w:r>
    </w:p>
    <w:p>
      <w:pPr>
        <w:pStyle w:val="Normal"/>
        <w:numPr>
          <w:ilvl w:val="1"/>
          <w:numId w:val="3"/>
        </w:numPr>
        <w:autoSpaceDE w:val="false"/>
        <w:rPr/>
      </w:pPr>
      <w:r>
        <w:rPr/>
        <w:t xml:space="preserve">Credit for prior Enron service </w:t>
      </w:r>
    </w:p>
    <w:p>
      <w:pPr>
        <w:pStyle w:val="Normal"/>
        <w:autoSpaceDE w:val="false"/>
        <w:ind w:start="720" w:end="0"/>
        <w:rPr/>
      </w:pPr>
      <w:r>
        <w:rPr/>
        <w:t xml:space="preserve">This is not necessarily guaranteed, given there may be some negotiation of all deal terms. </w:t>
      </w:r>
    </w:p>
    <w:p>
      <w:pPr>
        <w:pStyle w:val="Normal"/>
        <w:numPr>
          <w:ilvl w:val="0"/>
          <w:numId w:val="2"/>
        </w:numPr>
        <w:autoSpaceDE w:val="false"/>
        <w:rPr/>
      </w:pPr>
      <w:r>
        <w:rPr/>
        <w:t>NETCO employees could become employees of the winning bidder, or other could be a separate company set up just for NETCO matters.  Therefore, benefits, vacation and other employee related plans will be those of the winning bidder or NETCO.  The deal requests credit for prior Enron service for participation and vesting, although no back contributions in these plans.</w:t>
      </w:r>
    </w:p>
    <w:p>
      <w:pPr>
        <w:pStyle w:val="Normal"/>
        <w:numPr>
          <w:ilvl w:val="0"/>
          <w:numId w:val="2"/>
        </w:numPr>
        <w:rPr>
          <w:b/>
          <w:bCs/>
        </w:rPr>
      </w:pPr>
      <w:r>
        <w:rPr/>
        <w:t>The NETCO transaction is dependent upon intellectual talent.  As such, it is important to Enron management, our creditors, and all of the potential bidders to retain our employees.  Specific retention arrangements for identified NETCO employees have been proposed, and should be included in the deal terms.</w:t>
      </w:r>
    </w:p>
    <w:p>
      <w:pPr>
        <w:pStyle w:val="Normal"/>
        <w:numPr>
          <w:ilvl w:val="0"/>
          <w:numId w:val="2"/>
        </w:numPr>
        <w:rPr>
          <w:b/>
          <w:bCs/>
        </w:rPr>
      </w:pPr>
      <w:r>
        <w:rPr/>
        <w:t>As you may have heard, the Enron estate is also proposing a retention plan for employees who are critical to managing the Enron estate.  A draft proposal has been submitted to the creditor committee for comments, and further details will be released in the coming days/weeks.  This plan is separate from the NETCO proposals.</w:t>
      </w:r>
    </w:p>
    <w:p>
      <w:pPr>
        <w:pStyle w:val="Normal"/>
        <w:numPr>
          <w:ilvl w:val="0"/>
          <w:numId w:val="2"/>
        </w:numPr>
        <w:rPr>
          <w:b/>
          <w:bCs/>
        </w:rPr>
      </w:pPr>
      <w:r>
        <w:rPr/>
        <w:t>If you have any questions or concerns about your assignment to NETCO on deal closure, please address those immediately with your head of department or HR representative.</w:t>
      </w:r>
    </w:p>
    <w:p>
      <w:pPr>
        <w:pStyle w:val="Normal"/>
        <w:rPr>
          <w:b/>
          <w:bCs/>
        </w:rPr>
      </w:pPr>
      <w:r>
        <w:rPr>
          <w:b/>
          <w:bCs/>
        </w:rPr>
      </w:r>
    </w:p>
    <w:p>
      <w:pPr>
        <w:pStyle w:val="Normal"/>
        <w:rPr>
          <w:b/>
          <w:bCs/>
        </w:rPr>
      </w:pPr>
      <w:r>
        <w:rPr>
          <w:b/>
          <w:bC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5">
    <w:name w:val="WW8Num3z5"/>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2001-12-19T20:03:00Z</dcterms:created>
  <dc:creator>afitzpat</dc:creator>
  <dc:description/>
  <dc:language>en-CA</dc:language>
  <cp:lastModifiedBy>afitzpat</cp:lastModifiedBy>
  <cp:lastPrinted>2001-12-20T08:47:00Z</cp:lastPrinted>
  <dcterms:modified xsi:type="dcterms:W3CDTF">2001-12-20T12:23:00Z</dcterms:modified>
  <cp:revision>4</cp:revision>
  <dc:subject/>
  <dc:title>Talking Points for NETCO</dc:title>
</cp:coreProperties>
</file>