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2Paragraph"/>
        <w:tabs>
          <w:tab w:val="clear" w:pos="720"/>
          <w:tab w:val="clear" w:pos="1440"/>
          <w:tab w:val="left" w:pos="0" w:leader="none"/>
        </w:tabs>
        <w:ind w:hanging="0" w:start="0" w:end="0"/>
        <w:jc w:val="center"/>
        <w:rPr>
          <w:b/>
        </w:rPr>
      </w:pPr>
      <w:r>
        <w:rPr>
          <w:b/>
        </w:rPr>
        <w:t>Talking Points</w:t>
      </w:r>
    </w:p>
    <w:p>
      <w:pPr>
        <w:pStyle w:val="2Paragraph"/>
        <w:tabs>
          <w:tab w:val="clear" w:pos="720"/>
          <w:tab w:val="clear" w:pos="1440"/>
          <w:tab w:val="left" w:pos="0" w:leader="none"/>
        </w:tabs>
        <w:ind w:hanging="0" w:start="0" w:end="0"/>
        <w:jc w:val="center"/>
        <w:rPr>
          <w:b/>
        </w:rPr>
      </w:pPr>
      <w:r>
        <w:rPr>
          <w:b/>
        </w:rPr>
        <w:t>FERC’s July 25 Order</w:t>
      </w:r>
    </w:p>
    <w:p>
      <w:pPr>
        <w:pStyle w:val="BodyTextIndent2"/>
        <w:spacing w:lineRule="auto" w:line="240" w:before="0" w:after="0"/>
        <w:ind w:start="0" w:end="0"/>
        <w:rPr>
          <w:b/>
          <w:bCs/>
          <w:szCs w:val="20"/>
        </w:rPr>
      </w:pPr>
      <w:r>
        <w:rPr>
          <w:b/>
          <w:bCs/>
          <w:szCs w:val="20"/>
        </w:rPr>
      </w:r>
    </w:p>
    <w:p>
      <w:pPr>
        <w:pStyle w:val="BodyTextIndent2"/>
        <w:numPr>
          <w:ilvl w:val="0"/>
          <w:numId w:val="1"/>
        </w:numPr>
        <w:spacing w:lineRule="auto" w:line="240" w:before="0" w:after="0"/>
        <w:rPr/>
      </w:pPr>
      <w:r>
        <w:rPr/>
        <w:t>The FERC’s July 25 Order raises serious concerns that need to be addressed by the Commission on rehearing.</w:t>
      </w:r>
    </w:p>
    <w:p>
      <w:pPr>
        <w:pStyle w:val="BodyTextIndent2"/>
        <w:spacing w:lineRule="auto" w:line="240" w:before="0" w:after="0"/>
        <w:ind w:start="0" w:end="0"/>
        <w:rPr/>
      </w:pPr>
      <w:r>
        <w:rPr/>
      </w:r>
    </w:p>
    <w:p>
      <w:pPr>
        <w:pStyle w:val="BodyTextIndent2"/>
        <w:numPr>
          <w:ilvl w:val="0"/>
          <w:numId w:val="1"/>
        </w:numPr>
        <w:spacing w:lineRule="auto" w:line="240" w:before="0" w:after="0"/>
        <w:rPr/>
      </w:pPr>
      <w:r>
        <w:rPr/>
        <w:t xml:space="preserve">The July 25 Order was issued promptly after the negotiations that the Commission ordered respecting refund claims in California and the Pacific Northwest failed to produce a settlement.   In its July 25 Order, the Commission determined that hearings were needed to fix the rights of the parties.  FERC decided that the Pacific Northwest hearing should deal with the issue of whether refunds should be ordered (the Judge’s subsequent findings indicated that they should not).  However, with regard to the California hearing, the Commission established an unusually restricted proceeding to implement conclusions that it reached without the benefit of a properly developed record. </w:t>
      </w:r>
    </w:p>
    <w:p>
      <w:pPr>
        <w:pStyle w:val="BodyTextIndent2"/>
        <w:spacing w:lineRule="auto" w:line="240" w:before="0" w:after="0"/>
        <w:ind w:start="0" w:end="0"/>
        <w:rPr/>
      </w:pPr>
      <w:r>
        <w:rPr/>
      </w:r>
    </w:p>
    <w:p>
      <w:pPr>
        <w:pStyle w:val="BodyTextIndent2"/>
        <w:numPr>
          <w:ilvl w:val="0"/>
          <w:numId w:val="1"/>
        </w:numPr>
        <w:spacing w:lineRule="auto" w:line="240" w:before="0" w:after="0"/>
        <w:rPr/>
      </w:pPr>
      <w:r>
        <w:rPr/>
        <w:t xml:space="preserve">Unlike its decision in the Pacific Northwest hearing, the Commission limited the scope of the California hearing to a determination only of the </w:t>
      </w:r>
      <w:r>
        <w:rPr>
          <w:i/>
        </w:rPr>
        <w:t>extent of the refunds</w:t>
      </w:r>
      <w:r>
        <w:rPr/>
        <w:t xml:space="preserve">, rather than considering the factual, equitable and legal questions of whether refunds should be required in the first place.  This decision stems from the application of incorrect standards to the issues presented, including earlier Commission conclusions that prices in California’s electricity markets have been unjust and unreasonable. </w:t>
      </w:r>
    </w:p>
    <w:p>
      <w:pPr>
        <w:pStyle w:val="BodyTextIndent2"/>
        <w:spacing w:lineRule="auto" w:line="240" w:before="0" w:after="0"/>
        <w:ind w:start="0" w:end="0"/>
        <w:rPr/>
      </w:pPr>
      <w:r>
        <w:rPr/>
      </w:r>
    </w:p>
    <w:p>
      <w:pPr>
        <w:pStyle w:val="BodyTextIndent2"/>
        <w:numPr>
          <w:ilvl w:val="0"/>
          <w:numId w:val="1"/>
        </w:numPr>
        <w:spacing w:lineRule="auto" w:line="240" w:before="0" w:after="0"/>
        <w:rPr/>
      </w:pPr>
      <w:r>
        <w:rPr/>
        <w:t>The problem with this, of course, is that the Commission has never afforded the parties that would be subject to a refund order any opportunity to defend themselves and present evidence on whether refunds should be ordered in the first place.  Nor has the Commission ever cited any specific evidence in the record that supports its conclusion that prices in California’s electricity markets have been unjust and unreasonable.</w:t>
      </w:r>
    </w:p>
    <w:p>
      <w:pPr>
        <w:pStyle w:val="BodyTextIndent2"/>
        <w:spacing w:lineRule="auto" w:line="240" w:before="0" w:after="0"/>
        <w:ind w:start="0" w:end="0"/>
        <w:rPr/>
      </w:pPr>
      <w:r>
        <w:rPr/>
      </w:r>
    </w:p>
    <w:p>
      <w:pPr>
        <w:pStyle w:val="BodyTextIndent2"/>
        <w:numPr>
          <w:ilvl w:val="0"/>
          <w:numId w:val="1"/>
        </w:numPr>
        <w:spacing w:lineRule="auto" w:line="240" w:before="0" w:after="0"/>
        <w:rPr/>
      </w:pPr>
      <w:r>
        <w:rPr/>
        <w:t>Instead, the Commission has simplistically relied upon the fact that electricity prices have been high.  But as the Judge in the Pacific Northwest hearing has correctly determined, high prices in and of themselves do not constitute a basis for refunds.  The Commission’s determination that refunds are required for sales during non-Emergency hours is additionally erroneous given that the Commission has never found that prices during those hours were unjust and unreasonable.</w:t>
      </w:r>
    </w:p>
    <w:p>
      <w:pPr>
        <w:pStyle w:val="BodyTextIndent2"/>
        <w:spacing w:lineRule="auto" w:line="240" w:before="0" w:after="0"/>
        <w:ind w:start="0" w:end="0"/>
        <w:rPr/>
      </w:pPr>
      <w:r>
        <w:rPr/>
      </w:r>
    </w:p>
    <w:p>
      <w:pPr>
        <w:pStyle w:val="BodyTextIndent2"/>
        <w:numPr>
          <w:ilvl w:val="0"/>
          <w:numId w:val="2"/>
        </w:numPr>
        <w:spacing w:lineRule="auto" w:line="240" w:before="0" w:after="0"/>
        <w:rPr/>
      </w:pPr>
      <w:r>
        <w:rPr/>
        <w:t>The Commission’s determination that refunds are required also violates the filed rate doctrine and the rule against retroactive ratemaking since refunds would, without advance notice, retroactively change the market-based rates that were charged fully consistent with the market rules in California, as well as the Commission’s various price cap, proxy prices, and breakpoint rulings.</w:t>
      </w:r>
      <w:r>
        <w:br w:type="page"/>
      </w:r>
    </w:p>
    <w:p>
      <w:pPr>
        <w:pStyle w:val="Normal"/>
        <w:jc w:val="both"/>
        <w:rPr/>
      </w:pPr>
      <w:r>
        <w:rPr/>
      </w:r>
    </w:p>
    <w:p>
      <w:pPr>
        <w:pStyle w:val="Normal"/>
        <w:numPr>
          <w:ilvl w:val="0"/>
          <w:numId w:val="2"/>
        </w:numPr>
        <w:jc w:val="both"/>
        <w:rPr/>
      </w:pPr>
      <w:r>
        <w:rPr/>
        <w:t xml:space="preserve">The July 25 Order is particularly harsh and unfair to marketers, who are denied any opportunity to justify their prices on the basis of their own costs, but instead will have their rates adjusted to the level of unrelated generator proxy prices.  This prevents marketers from recovering their actual costs and a reasonable return. </w:t>
      </w:r>
    </w:p>
    <w:p>
      <w:pPr>
        <w:pStyle w:val="Normal"/>
        <w:jc w:val="both"/>
        <w:rPr/>
      </w:pPr>
      <w:r>
        <w:rPr/>
      </w:r>
    </w:p>
    <w:p>
      <w:pPr>
        <w:pStyle w:val="Normal"/>
        <w:numPr>
          <w:ilvl w:val="0"/>
          <w:numId w:val="2"/>
        </w:numPr>
        <w:jc w:val="both"/>
        <w:rPr/>
      </w:pPr>
      <w:r>
        <w:rPr/>
        <w:t xml:space="preserve">The current status of the California hearing is that it has been twice delayed by the failure of the California ISO to produce data supporting its refund claims.  The lack of independence of the ISO calls into question whether the ISO will ever produce valid data, in accordance with the Commission’s order.  Yet, the Commission has charged the ISO with running the numbers, despite its lack of independence, its failure to comply with numerous Commission orders and directives and other evidence of ISO abuse.  This is tantamount to having the fox guard the henhouse.  The errors and omissions in the ISO data thus far have shed doubt on the validity of all of its highly touted prior claims, and call into question the issue of whether refunds are due at all.  What the Commission considered to be a fast track 45-day process in the July 25 Order, has now been seriously delayed and extended into March of next year.  Given these developments, which could not have been known at the time the July 25 Order issued, the Commission should reopen the proceeding and consider the question of whether refunds should be ordered in the first place. </w:t>
      </w:r>
    </w:p>
    <w:p>
      <w:pPr>
        <w:pStyle w:val="Normal"/>
        <w:jc w:val="both"/>
        <w:rPr/>
      </w:pPr>
      <w:r>
        <w:rPr/>
      </w:r>
    </w:p>
    <w:p>
      <w:pPr>
        <w:pStyle w:val="Normal"/>
        <w:numPr>
          <w:ilvl w:val="0"/>
          <w:numId w:val="2"/>
        </w:numPr>
        <w:jc w:val="both"/>
        <w:rPr/>
      </w:pPr>
      <w:r>
        <w:rPr/>
        <w:t>Conclusion- The Commission should address these concerns and grant rehearing of its July 25 Order.  The scope of the California “refund hearing” should be expanded to address the question of whether refunds are appropriate in the first place.  The parties to the California hearing should be granted the same due process opportunities, which were afforded the parties in the Pacific Northwest hearing.</w:t>
      </w:r>
    </w:p>
    <w:p>
      <w:pPr>
        <w:pStyle w:val="BodyTextFirstIndent"/>
        <w:spacing w:before="0" w:after="0"/>
        <w:ind w:hanging="0" w:end="0"/>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SECOND 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before="0" w:after="240"/>
      <w:ind w:firstLine="720" w:start="0" w:end="0"/>
      <w:jc w:val="both"/>
    </w:pPr>
    <w:rPr/>
  </w:style>
  <w:style w:type="paragraph" w:styleId="BodyTextIndent2">
    <w:name w:val="Body Text Indent 2"/>
    <w:basedOn w:val="Normal"/>
    <w:qFormat/>
    <w:pPr>
      <w:spacing w:lineRule="auto" w:line="480" w:before="0" w:after="240"/>
      <w:ind w:hanging="0" w:start="720" w:end="0"/>
      <w:jc w:val="both"/>
    </w:pPr>
    <w:rPr/>
  </w:style>
  <w:style w:type="paragraph" w:styleId="2Paragraph">
    <w:name w:val="2Paragraph"/>
    <w:qFormat/>
    <w:pPr>
      <w:widowControl/>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2001-10-15T11:29:00Z</dcterms:created>
  <dc:creator>ralvare2</dc:creator>
  <dc:description/>
  <dc:language>en-CA</dc:language>
  <cp:lastModifiedBy>ralvare2</cp:lastModifiedBy>
  <cp:lastPrinted>2001-10-16T10:34:00Z</cp:lastPrinted>
  <dcterms:modified xsi:type="dcterms:W3CDTF">2001-10-16T12:05:00Z</dcterms:modified>
  <cp:revision>12</cp:revision>
  <dc:subject/>
  <dc:title>FERC’s July 25 Order</dc:title>
</cp:coreProperties>
</file>