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caps/>
          <w:sz w:val="28"/>
        </w:rPr>
      </w:pPr>
      <w:r>
        <w:rPr>
          <w:caps/>
          <w:sz w:val="28"/>
        </w:rPr>
        <w:t>Talking Points – 11-9-01</w:t>
      </w:r>
    </w:p>
    <w:p>
      <w:pPr>
        <w:pStyle w:val="Heading"/>
        <w:rPr>
          <w:caps/>
          <w:sz w:val="28"/>
        </w:rPr>
      </w:pPr>
      <w:r>
        <w:rPr>
          <w:caps/>
          <w:sz w:val="28"/>
        </w:rPr>
      </w:r>
    </w:p>
    <w:p>
      <w:pPr>
        <w:pStyle w:val="Heading"/>
        <w:jc w:val="start"/>
        <w:rPr>
          <w:caps/>
        </w:rPr>
      </w:pPr>
      <w:r>
        <w:rPr>
          <w:caps/>
        </w:rPr>
        <w:t>Under current terms, all information outlined below will become final at the time of deal closure.</w:t>
      </w:r>
    </w:p>
    <w:p>
      <w:pPr>
        <w:pStyle w:val="Normal"/>
        <w:rPr>
          <w:b/>
          <w:bCs/>
          <w:caps/>
        </w:rPr>
      </w:pPr>
      <w:r>
        <w:rPr>
          <w:b/>
          <w:bCs/>
          <w:caps/>
        </w:rPr>
      </w:r>
    </w:p>
    <w:p>
      <w:pPr>
        <w:pStyle w:val="Subtitle"/>
        <w:rPr/>
      </w:pPr>
      <w:r>
        <w:rPr/>
        <w:t>Section</w:t>
        <w:tab/>
        <w:tab/>
        <w:tab/>
        <w:tab/>
        <w:tab/>
        <w:t xml:space="preserve">  Details</w:t>
      </w:r>
    </w:p>
    <w:tbl>
      <w:tblPr>
        <w:tblW w:w="8856" w:type="dxa"/>
        <w:jc w:val="start"/>
        <w:tblInd w:w="0" w:type="dxa"/>
        <w:tblLayout w:type="fixed"/>
        <w:tblCellMar>
          <w:top w:w="0" w:type="dxa"/>
          <w:start w:w="108" w:type="dxa"/>
          <w:bottom w:w="0" w:type="dxa"/>
          <w:end w:w="108" w:type="dxa"/>
        </w:tblCellMar>
      </w:tblPr>
      <w:tblGrid>
        <w:gridCol w:w="3005"/>
        <w:gridCol w:w="5851"/>
      </w:tblGrid>
      <w:tr>
        <w:trPr/>
        <w:tc>
          <w:tcPr>
            <w:tcW w:w="3005" w:type="dxa"/>
            <w:tcBorders>
              <w:top w:val="single" w:sz="4" w:space="0" w:color="000000"/>
              <w:start w:val="single" w:sz="4" w:space="0" w:color="000000"/>
              <w:bottom w:val="single" w:sz="4" w:space="0" w:color="000000"/>
              <w:end w:val="single" w:sz="4" w:space="0" w:color="000000"/>
            </w:tcBorders>
          </w:tcPr>
          <w:p>
            <w:pPr>
              <w:pStyle w:val="Subtitle"/>
              <w:rPr>
                <w:sz w:val="20"/>
              </w:rPr>
            </w:pPr>
            <w:r>
              <w:rPr>
                <w:sz w:val="20"/>
              </w:rPr>
              <w:t>Intro</w:t>
            </w:r>
          </w:p>
        </w:tc>
        <w:tc>
          <w:tcPr>
            <w:tcW w:w="5851"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There are two important items of news:</w:t>
            </w:r>
          </w:p>
          <w:p>
            <w:pPr>
              <w:pStyle w:val="Normal"/>
              <w:numPr>
                <w:ilvl w:val="0"/>
                <w:numId w:val="3"/>
              </w:numPr>
              <w:rPr>
                <w:sz w:val="20"/>
              </w:rPr>
            </w:pPr>
            <w:r>
              <w:rPr>
                <w:sz w:val="20"/>
              </w:rPr>
              <w:t>SEC Filing (yesterday)</w:t>
            </w:r>
          </w:p>
          <w:p>
            <w:pPr>
              <w:pStyle w:val="Normal"/>
              <w:numPr>
                <w:ilvl w:val="0"/>
                <w:numId w:val="3"/>
              </w:numPr>
              <w:rPr>
                <w:b/>
                <w:bCs/>
                <w:sz w:val="20"/>
              </w:rPr>
            </w:pPr>
            <w:r>
              <w:rPr>
                <w:sz w:val="20"/>
              </w:rPr>
              <w:t>Merger with Dynegy (today)</w:t>
            </w:r>
          </w:p>
        </w:tc>
      </w:tr>
      <w:tr>
        <w:trPr/>
        <w:tc>
          <w:tcPr>
            <w:tcW w:w="3005" w:type="dxa"/>
            <w:tcBorders>
              <w:top w:val="single" w:sz="4" w:space="0" w:color="000000"/>
              <w:start w:val="single" w:sz="4" w:space="0" w:color="000000"/>
              <w:bottom w:val="single" w:sz="4" w:space="0" w:color="000000"/>
              <w:end w:val="single" w:sz="4" w:space="0" w:color="000000"/>
            </w:tcBorders>
          </w:tcPr>
          <w:p>
            <w:pPr>
              <w:pStyle w:val="Normal"/>
              <w:rPr>
                <w:b/>
                <w:bCs/>
                <w:sz w:val="20"/>
              </w:rPr>
            </w:pPr>
            <w:r>
              <w:rPr>
                <w:b/>
                <w:bCs/>
                <w:sz w:val="20"/>
              </w:rPr>
              <w:t>SEC Filing</w:t>
            </w:r>
          </w:p>
          <w:p>
            <w:pPr>
              <w:pStyle w:val="Normal"/>
              <w:rPr>
                <w:b/>
                <w:bCs/>
                <w:sz w:val="20"/>
              </w:rPr>
            </w:pPr>
            <w:r>
              <w:rPr>
                <w:b/>
                <w:bCs/>
                <w:sz w:val="20"/>
              </w:rPr>
            </w:r>
          </w:p>
          <w:p>
            <w:pPr>
              <w:pStyle w:val="Normal"/>
              <w:rPr>
                <w:b/>
                <w:bCs/>
                <w:sz w:val="20"/>
              </w:rPr>
            </w:pPr>
            <w:r>
              <w:rPr>
                <w:b/>
                <w:bCs/>
                <w:sz w:val="20"/>
              </w:rPr>
              <w:t>More information is available at www.enron.com/corp/pressroom</w:t>
            </w:r>
          </w:p>
        </w:tc>
        <w:tc>
          <w:tcPr>
            <w:tcW w:w="5851" w:type="dxa"/>
            <w:tcBorders>
              <w:top w:val="single" w:sz="4" w:space="0" w:color="000000"/>
              <w:start w:val="single" w:sz="4" w:space="0" w:color="000000"/>
              <w:bottom w:val="single" w:sz="4" w:space="0" w:color="000000"/>
              <w:end w:val="single" w:sz="4" w:space="0" w:color="000000"/>
            </w:tcBorders>
          </w:tcPr>
          <w:p>
            <w:pPr>
              <w:pStyle w:val="BodyText"/>
              <w:rPr>
                <w:b w:val="false"/>
                <w:bCs w:val="false"/>
                <w:sz w:val="20"/>
              </w:rPr>
            </w:pPr>
            <w:r>
              <w:rPr>
                <w:b w:val="false"/>
                <w:bCs w:val="false"/>
                <w:sz w:val="20"/>
              </w:rPr>
              <w:t>Enron continues to fully cooperate with the SEC investigation.  To address a number of concerns that have been raised by shareholders and the SEC, yesterday Enron released further information regarding earnings.  This release detailed information focused on Off-Balance Sheet transactions. Highlights include:</w:t>
            </w:r>
          </w:p>
          <w:p>
            <w:pPr>
              <w:pStyle w:val="BodyText"/>
              <w:numPr>
                <w:ilvl w:val="0"/>
                <w:numId w:val="4"/>
              </w:numPr>
              <w:rPr>
                <w:b w:val="false"/>
                <w:bCs w:val="false"/>
                <w:sz w:val="20"/>
              </w:rPr>
            </w:pPr>
            <w:r>
              <w:rPr>
                <w:b w:val="false"/>
                <w:bCs w:val="false"/>
                <w:sz w:val="20"/>
              </w:rPr>
              <w:t>$1.2B charge to shareholder equity announced in the 3</w:t>
            </w:r>
            <w:r>
              <w:rPr>
                <w:b w:val="false"/>
                <w:bCs w:val="false"/>
                <w:sz w:val="20"/>
                <w:vertAlign w:val="superscript"/>
              </w:rPr>
              <w:t>rd</w:t>
            </w:r>
            <w:r>
              <w:rPr>
                <w:b w:val="false"/>
                <w:bCs w:val="false"/>
                <w:sz w:val="20"/>
              </w:rPr>
              <w:t xml:space="preserve"> Quarter and the transactions related to that charge</w:t>
            </w:r>
          </w:p>
          <w:p>
            <w:pPr>
              <w:pStyle w:val="BodyText"/>
              <w:numPr>
                <w:ilvl w:val="0"/>
                <w:numId w:val="4"/>
              </w:numPr>
              <w:rPr>
                <w:b w:val="false"/>
                <w:bCs w:val="false"/>
                <w:sz w:val="20"/>
              </w:rPr>
            </w:pPr>
            <w:r>
              <w:rPr>
                <w:b w:val="false"/>
                <w:bCs w:val="false"/>
                <w:sz w:val="20"/>
              </w:rPr>
              <w:t>A restatement of prior years’ financial statements to reflect this reduction to shareholder’s equity</w:t>
            </w:r>
          </w:p>
          <w:p>
            <w:pPr>
              <w:pStyle w:val="BodyText"/>
              <w:numPr>
                <w:ilvl w:val="0"/>
                <w:numId w:val="4"/>
              </w:numPr>
              <w:rPr>
                <w:b w:val="false"/>
                <w:bCs w:val="false"/>
                <w:sz w:val="20"/>
              </w:rPr>
            </w:pPr>
            <w:r>
              <w:rPr>
                <w:b w:val="false"/>
                <w:bCs w:val="false"/>
                <w:sz w:val="20"/>
              </w:rPr>
              <w:t>The LJM limited partnership, including a discussion of transactions between Enron and LJM entities</w:t>
            </w:r>
          </w:p>
          <w:p>
            <w:pPr>
              <w:pStyle w:val="BodyText"/>
              <w:numPr>
                <w:ilvl w:val="0"/>
                <w:numId w:val="4"/>
              </w:numPr>
              <w:rPr>
                <w:b w:val="false"/>
                <w:bCs w:val="false"/>
                <w:sz w:val="20"/>
              </w:rPr>
            </w:pPr>
            <w:r>
              <w:rPr>
                <w:b w:val="false"/>
                <w:bCs w:val="false"/>
                <w:sz w:val="20"/>
              </w:rPr>
              <w:t>The business relationships and transactions between Enron and Chewco, another related party</w:t>
            </w:r>
          </w:p>
        </w:tc>
      </w:tr>
      <w:tr>
        <w:trPr/>
        <w:tc>
          <w:tcPr>
            <w:tcW w:w="3005" w:type="dxa"/>
            <w:tcBorders>
              <w:top w:val="single" w:sz="4" w:space="0" w:color="000000"/>
              <w:start w:val="single" w:sz="4" w:space="0" w:color="000000"/>
              <w:bottom w:val="single" w:sz="4" w:space="0" w:color="000000"/>
              <w:end w:val="single" w:sz="4" w:space="0" w:color="000000"/>
            </w:tcBorders>
          </w:tcPr>
          <w:p>
            <w:pPr>
              <w:pStyle w:val="Normal"/>
              <w:rPr>
                <w:b/>
                <w:bCs/>
                <w:sz w:val="20"/>
              </w:rPr>
            </w:pPr>
            <w:r>
              <w:rPr>
                <w:b/>
                <w:bCs/>
                <w:sz w:val="20"/>
              </w:rPr>
              <w:t>Merger with Dynegy</w:t>
            </w:r>
          </w:p>
        </w:tc>
        <w:tc>
          <w:tcPr>
            <w:tcW w:w="5851" w:type="dxa"/>
            <w:tcBorders>
              <w:top w:val="single" w:sz="4" w:space="0" w:color="000000"/>
              <w:start w:val="single" w:sz="4" w:space="0" w:color="000000"/>
              <w:bottom w:val="single" w:sz="4" w:space="0" w:color="000000"/>
              <w:end w:val="single" w:sz="4" w:space="0" w:color="000000"/>
            </w:tcBorders>
          </w:tcPr>
          <w:p>
            <w:pPr>
              <w:pStyle w:val="BodyText"/>
              <w:numPr>
                <w:ilvl w:val="0"/>
                <w:numId w:val="2"/>
              </w:numPr>
              <w:rPr>
                <w:sz w:val="20"/>
              </w:rPr>
            </w:pPr>
            <w:r>
              <w:rPr>
                <w:b w:val="false"/>
                <w:bCs w:val="false"/>
                <w:sz w:val="20"/>
              </w:rPr>
              <w:t>The merger between Enron and Dynegy is a positive move for both companies and an exciting opportunity:  The deal will:</w:t>
            </w:r>
          </w:p>
          <w:p>
            <w:pPr>
              <w:pStyle w:val="BodyText"/>
              <w:numPr>
                <w:ilvl w:val="1"/>
                <w:numId w:val="2"/>
              </w:numPr>
              <w:rPr>
                <w:sz w:val="20"/>
              </w:rPr>
            </w:pPr>
            <w:r>
              <w:rPr>
                <w:b w:val="false"/>
                <w:bCs w:val="false"/>
                <w:sz w:val="20"/>
              </w:rPr>
              <w:t>Bring together two major players in the energy marketplace</w:t>
            </w:r>
          </w:p>
          <w:p>
            <w:pPr>
              <w:pStyle w:val="BodyText"/>
              <w:numPr>
                <w:ilvl w:val="1"/>
                <w:numId w:val="2"/>
              </w:numPr>
              <w:rPr>
                <w:sz w:val="20"/>
              </w:rPr>
            </w:pPr>
            <w:r>
              <w:rPr>
                <w:b w:val="false"/>
                <w:bCs w:val="false"/>
                <w:sz w:val="20"/>
              </w:rPr>
              <w:t>Provide outstanding market reach</w:t>
            </w:r>
          </w:p>
          <w:p>
            <w:pPr>
              <w:pStyle w:val="BodyText"/>
              <w:numPr>
                <w:ilvl w:val="1"/>
                <w:numId w:val="2"/>
              </w:numPr>
              <w:rPr>
                <w:sz w:val="20"/>
              </w:rPr>
            </w:pPr>
            <w:r>
              <w:rPr>
                <w:b w:val="false"/>
                <w:bCs w:val="false"/>
                <w:sz w:val="20"/>
              </w:rPr>
              <w:t xml:space="preserve">Leverage the industry experience  </w:t>
            </w:r>
          </w:p>
          <w:p>
            <w:pPr>
              <w:pStyle w:val="BodyText"/>
              <w:numPr>
                <w:ilvl w:val="1"/>
                <w:numId w:val="2"/>
              </w:numPr>
              <w:rPr>
                <w:sz w:val="20"/>
              </w:rPr>
            </w:pPr>
            <w:r>
              <w:rPr>
                <w:b w:val="false"/>
                <w:bCs w:val="false"/>
                <w:sz w:val="20"/>
              </w:rPr>
              <w:t>Create financial strength</w:t>
            </w:r>
          </w:p>
          <w:p>
            <w:pPr>
              <w:pStyle w:val="BodyText"/>
              <w:numPr>
                <w:ilvl w:val="0"/>
                <w:numId w:val="2"/>
              </w:numPr>
              <w:rPr>
                <w:sz w:val="20"/>
              </w:rPr>
            </w:pPr>
            <w:r>
              <w:rPr>
                <w:b w:val="false"/>
                <w:bCs w:val="false"/>
                <w:sz w:val="20"/>
              </w:rPr>
              <w:t>If all necessary approvals are granted, the merger is expected to finalize by the end of 3Q 2002</w:t>
            </w:r>
          </w:p>
        </w:tc>
      </w:tr>
      <w:tr>
        <w:trPr/>
        <w:tc>
          <w:tcPr>
            <w:tcW w:w="3005" w:type="dxa"/>
            <w:tcBorders>
              <w:top w:val="single" w:sz="4" w:space="0" w:color="000000"/>
              <w:start w:val="single" w:sz="4" w:space="0" w:color="000000"/>
              <w:bottom w:val="single" w:sz="4" w:space="0" w:color="000000"/>
              <w:end w:val="single" w:sz="4" w:space="0" w:color="000000"/>
            </w:tcBorders>
          </w:tcPr>
          <w:p>
            <w:pPr>
              <w:pStyle w:val="Normal"/>
              <w:rPr>
                <w:b/>
                <w:bCs/>
                <w:sz w:val="20"/>
              </w:rPr>
            </w:pPr>
            <w:r>
              <w:rPr>
                <w:b/>
                <w:bCs/>
                <w:sz w:val="20"/>
              </w:rPr>
              <w:t>Merger Terms</w:t>
            </w:r>
          </w:p>
        </w:tc>
        <w:tc>
          <w:tcPr>
            <w:tcW w:w="5851" w:type="dxa"/>
            <w:tcBorders>
              <w:top w:val="single" w:sz="4" w:space="0" w:color="000000"/>
              <w:start w:val="single" w:sz="4" w:space="0" w:color="000000"/>
              <w:bottom w:val="single" w:sz="4" w:space="0" w:color="000000"/>
              <w:end w:val="single" w:sz="4" w:space="0" w:color="000000"/>
            </w:tcBorders>
          </w:tcPr>
          <w:p>
            <w:pPr>
              <w:pStyle w:val="BodyText"/>
              <w:numPr>
                <w:ilvl w:val="0"/>
                <w:numId w:val="2"/>
              </w:numPr>
              <w:rPr>
                <w:b w:val="false"/>
                <w:bCs w:val="false"/>
                <w:sz w:val="20"/>
              </w:rPr>
            </w:pPr>
            <w:r>
              <w:rPr>
                <w:b w:val="false"/>
                <w:bCs w:val="false"/>
                <w:sz w:val="20"/>
              </w:rPr>
              <w:t>The merger is structured as a stock for stock exchange</w:t>
            </w:r>
          </w:p>
          <w:p>
            <w:pPr>
              <w:pStyle w:val="BodyText"/>
              <w:numPr>
                <w:ilvl w:val="0"/>
                <w:numId w:val="2"/>
              </w:numPr>
              <w:rPr>
                <w:b w:val="false"/>
                <w:bCs w:val="false"/>
                <w:sz w:val="20"/>
              </w:rPr>
            </w:pPr>
            <w:r>
              <w:rPr>
                <w:b w:val="false"/>
                <w:bCs w:val="false"/>
                <w:sz w:val="20"/>
              </w:rPr>
              <w:t>The stock exchange ratio of  .2685 will be used for the conversion.  For example, each 1,000 shares of Enron stock will be converted to 268 shares of Dynegy stock, plus cash for fractional shares.</w:t>
            </w:r>
          </w:p>
          <w:p>
            <w:pPr>
              <w:pStyle w:val="BodyText"/>
              <w:numPr>
                <w:ilvl w:val="0"/>
                <w:numId w:val="2"/>
              </w:numPr>
              <w:rPr>
                <w:b w:val="false"/>
                <w:bCs w:val="false"/>
                <w:sz w:val="20"/>
              </w:rPr>
            </w:pPr>
            <w:r>
              <w:rPr>
                <w:b w:val="false"/>
                <w:bCs w:val="false"/>
                <w:sz w:val="20"/>
              </w:rPr>
              <w:t>ChevronTexaco owns 26% of Dynegy’s outstanding common stock</w:t>
            </w:r>
          </w:p>
          <w:p>
            <w:pPr>
              <w:pStyle w:val="BodyText"/>
              <w:numPr>
                <w:ilvl w:val="0"/>
                <w:numId w:val="2"/>
              </w:numPr>
              <w:rPr>
                <w:b w:val="false"/>
                <w:bCs w:val="false"/>
                <w:sz w:val="20"/>
              </w:rPr>
            </w:pPr>
            <w:r>
              <w:rPr>
                <w:b w:val="false"/>
                <w:bCs w:val="false"/>
                <w:sz w:val="20"/>
              </w:rPr>
              <w:t>ChevronTexaco will invest $1.5B in Dynegy, who will subsequently invest $1.5B in Enron’s Northern Natural Gas subsidiary immediately</w:t>
            </w:r>
          </w:p>
        </w:tc>
      </w:tr>
      <w:tr>
        <w:trPr/>
        <w:tc>
          <w:tcPr>
            <w:tcW w:w="3005" w:type="dxa"/>
            <w:tcBorders>
              <w:top w:val="single" w:sz="4" w:space="0" w:color="000000"/>
              <w:start w:val="single" w:sz="4" w:space="0" w:color="000000"/>
              <w:bottom w:val="single" w:sz="4" w:space="0" w:color="000000"/>
              <w:end w:val="single" w:sz="4" w:space="0" w:color="000000"/>
            </w:tcBorders>
          </w:tcPr>
          <w:p>
            <w:pPr>
              <w:pStyle w:val="Normal"/>
              <w:rPr>
                <w:b/>
                <w:bCs/>
                <w:sz w:val="20"/>
              </w:rPr>
            </w:pPr>
            <w:r>
              <w:rPr>
                <w:b/>
                <w:bCs/>
                <w:sz w:val="20"/>
              </w:rPr>
              <w:t>Management</w:t>
            </w:r>
          </w:p>
        </w:tc>
        <w:tc>
          <w:tcPr>
            <w:tcW w:w="5851" w:type="dxa"/>
            <w:tcBorders>
              <w:top w:val="single" w:sz="4" w:space="0" w:color="000000"/>
              <w:start w:val="single" w:sz="4" w:space="0" w:color="000000"/>
              <w:bottom w:val="single" w:sz="4" w:space="0" w:color="000000"/>
              <w:end w:val="single" w:sz="4" w:space="0" w:color="000000"/>
            </w:tcBorders>
          </w:tcPr>
          <w:p>
            <w:pPr>
              <w:pStyle w:val="BodyText"/>
              <w:numPr>
                <w:ilvl w:val="0"/>
                <w:numId w:val="2"/>
              </w:numPr>
              <w:rPr>
                <w:b w:val="false"/>
                <w:bCs w:val="false"/>
                <w:sz w:val="20"/>
              </w:rPr>
            </w:pPr>
            <w:r>
              <w:rPr>
                <w:b w:val="false"/>
                <w:bCs w:val="false"/>
                <w:sz w:val="20"/>
              </w:rPr>
              <w:t>The newly formed company will operate under Dynegy, Inc.</w:t>
            </w:r>
          </w:p>
          <w:p>
            <w:pPr>
              <w:pStyle w:val="BodyText"/>
              <w:numPr>
                <w:ilvl w:val="0"/>
                <w:numId w:val="2"/>
              </w:numPr>
              <w:rPr>
                <w:b w:val="false"/>
                <w:bCs w:val="false"/>
                <w:sz w:val="20"/>
              </w:rPr>
            </w:pPr>
            <w:r>
              <w:rPr>
                <w:b w:val="false"/>
                <w:bCs w:val="false"/>
                <w:sz w:val="20"/>
              </w:rPr>
              <w:t>The management committee details are as follows:</w:t>
            </w:r>
          </w:p>
          <w:p>
            <w:pPr>
              <w:pStyle w:val="BodyText"/>
              <w:numPr>
                <w:ilvl w:val="1"/>
                <w:numId w:val="2"/>
              </w:numPr>
              <w:rPr>
                <w:b w:val="false"/>
                <w:bCs w:val="false"/>
                <w:sz w:val="20"/>
              </w:rPr>
            </w:pPr>
            <w:r>
              <w:rPr>
                <w:b w:val="false"/>
                <w:bCs w:val="false"/>
                <w:sz w:val="20"/>
              </w:rPr>
              <w:t>Chuck Watson – CEO</w:t>
            </w:r>
          </w:p>
          <w:p>
            <w:pPr>
              <w:pStyle w:val="BodyText"/>
              <w:numPr>
                <w:ilvl w:val="1"/>
                <w:numId w:val="2"/>
              </w:numPr>
              <w:rPr>
                <w:b w:val="false"/>
                <w:bCs w:val="false"/>
                <w:sz w:val="20"/>
              </w:rPr>
            </w:pPr>
            <w:r>
              <w:rPr>
                <w:b w:val="false"/>
                <w:bCs w:val="false"/>
                <w:sz w:val="20"/>
              </w:rPr>
              <w:t>Steve Bergstrom – President and COO</w:t>
            </w:r>
          </w:p>
          <w:p>
            <w:pPr>
              <w:pStyle w:val="BodyText"/>
              <w:numPr>
                <w:ilvl w:val="1"/>
                <w:numId w:val="2"/>
              </w:numPr>
              <w:rPr>
                <w:b w:val="false"/>
                <w:bCs w:val="false"/>
                <w:sz w:val="20"/>
              </w:rPr>
            </w:pPr>
            <w:r>
              <w:rPr>
                <w:b w:val="false"/>
                <w:bCs w:val="false"/>
                <w:sz w:val="20"/>
              </w:rPr>
              <w:t>Ken Lay – CEO and Chairman of Enron until deal closure.  Ken will not join the Dynegy Office of the Chairman</w:t>
            </w:r>
          </w:p>
          <w:p>
            <w:pPr>
              <w:pStyle w:val="BodyText"/>
              <w:numPr>
                <w:ilvl w:val="1"/>
                <w:numId w:val="2"/>
              </w:numPr>
              <w:rPr>
                <w:b w:val="false"/>
                <w:bCs w:val="false"/>
                <w:sz w:val="20"/>
              </w:rPr>
            </w:pPr>
            <w:r>
              <w:rPr>
                <w:b w:val="false"/>
                <w:bCs w:val="false"/>
                <w:sz w:val="20"/>
              </w:rPr>
              <w:t>Greg Whalley – COO and President of Enron until deal closure.  Greg will join the Dynegy Office of the Chairman as Executive Vice President</w:t>
            </w:r>
          </w:p>
          <w:p>
            <w:pPr>
              <w:pStyle w:val="BodyText"/>
              <w:numPr>
                <w:ilvl w:val="1"/>
                <w:numId w:val="2"/>
              </w:numPr>
              <w:rPr>
                <w:b w:val="false"/>
                <w:bCs w:val="false"/>
                <w:sz w:val="20"/>
              </w:rPr>
            </w:pPr>
            <w:r>
              <w:rPr>
                <w:b w:val="false"/>
                <w:bCs w:val="false"/>
                <w:sz w:val="20"/>
              </w:rPr>
              <w:t>Mark Frevert – Vice Chairman of Enron will not join the Office of the Chairman at Dynegy</w:t>
            </w:r>
          </w:p>
        </w:tc>
      </w:tr>
      <w:tr>
        <w:trPr/>
        <w:tc>
          <w:tcPr>
            <w:tcW w:w="3005" w:type="dxa"/>
            <w:tcBorders>
              <w:top w:val="single" w:sz="4" w:space="0" w:color="000000"/>
              <w:start w:val="single" w:sz="4" w:space="0" w:color="000000"/>
              <w:bottom w:val="single" w:sz="4" w:space="0" w:color="000000"/>
              <w:end w:val="single" w:sz="4" w:space="0" w:color="000000"/>
            </w:tcBorders>
          </w:tcPr>
          <w:p>
            <w:pPr>
              <w:pStyle w:val="Heading2"/>
              <w:ind w:hanging="0" w:start="0"/>
              <w:rPr>
                <w:sz w:val="20"/>
              </w:rPr>
            </w:pPr>
            <w:r>
              <w:rPr>
                <w:sz w:val="20"/>
              </w:rPr>
              <w:t>Employment Issues</w:t>
            </w:r>
          </w:p>
        </w:tc>
        <w:tc>
          <w:tcPr>
            <w:tcW w:w="5851" w:type="dxa"/>
            <w:tcBorders>
              <w:top w:val="single" w:sz="4" w:space="0" w:color="000000"/>
              <w:start w:val="single" w:sz="4" w:space="0" w:color="000000"/>
              <w:bottom w:val="single" w:sz="4" w:space="0" w:color="000000"/>
              <w:end w:val="single" w:sz="4" w:space="0" w:color="000000"/>
            </w:tcBorders>
          </w:tcPr>
          <w:p>
            <w:pPr>
              <w:pStyle w:val="BodyText"/>
              <w:numPr>
                <w:ilvl w:val="0"/>
                <w:numId w:val="2"/>
              </w:numPr>
              <w:rPr>
                <w:b w:val="false"/>
                <w:bCs w:val="false"/>
                <w:sz w:val="20"/>
              </w:rPr>
            </w:pPr>
            <w:r>
              <w:rPr>
                <w:sz w:val="20"/>
              </w:rPr>
              <w:t xml:space="preserve">Lay-Offs </w:t>
            </w:r>
            <w:r>
              <w:rPr>
                <w:b w:val="false"/>
                <w:bCs w:val="false"/>
                <w:sz w:val="20"/>
              </w:rPr>
              <w:t xml:space="preserve">– The hope is to address the need of employment reductions through attrition and reduced hiring.  Some elimination is almost inevitable in this type of merger, and involuntary separations cannot be ruled out.  As of today, there is not a specific targeted number of reductions planned.   </w:t>
            </w:r>
          </w:p>
          <w:p>
            <w:pPr>
              <w:pStyle w:val="BodyText"/>
              <w:numPr>
                <w:ilvl w:val="0"/>
                <w:numId w:val="2"/>
              </w:numPr>
              <w:rPr>
                <w:b w:val="false"/>
                <w:bCs w:val="false"/>
                <w:sz w:val="20"/>
              </w:rPr>
            </w:pPr>
            <w:r>
              <w:rPr>
                <w:sz w:val="20"/>
              </w:rPr>
              <w:t xml:space="preserve">Retention – </w:t>
            </w:r>
            <w:r>
              <w:rPr>
                <w:b w:val="false"/>
                <w:bCs w:val="false"/>
                <w:sz w:val="20"/>
              </w:rPr>
              <w:t xml:space="preserve">Both companies agree that it is critical that we do all we can to motivate and retain the talent of both organizations.  The transition team that will be established will be placing a high priority on looking at specific proposals to ensure that this occurs.  </w:t>
            </w:r>
          </w:p>
          <w:p>
            <w:pPr>
              <w:pStyle w:val="BodyText"/>
              <w:numPr>
                <w:ilvl w:val="0"/>
                <w:numId w:val="2"/>
              </w:numPr>
              <w:rPr>
                <w:b w:val="false"/>
                <w:bCs w:val="false"/>
                <w:sz w:val="20"/>
              </w:rPr>
            </w:pPr>
            <w:r>
              <w:rPr>
                <w:sz w:val="20"/>
              </w:rPr>
              <w:t xml:space="preserve">Severance – </w:t>
            </w:r>
            <w:r>
              <w:rPr>
                <w:b w:val="false"/>
                <w:bCs w:val="false"/>
                <w:sz w:val="20"/>
              </w:rPr>
              <w:t xml:space="preserve">Between now and deal closure our approach towards severances will be under the direction of our Board and the Enron Office of the Chairman.  The Board and the management may review and change the current terms.   </w:t>
            </w:r>
          </w:p>
          <w:p>
            <w:pPr>
              <w:pStyle w:val="BodyText"/>
              <w:numPr>
                <w:ilvl w:val="0"/>
                <w:numId w:val="2"/>
              </w:numPr>
              <w:rPr>
                <w:b w:val="false"/>
                <w:bCs w:val="false"/>
                <w:sz w:val="20"/>
              </w:rPr>
            </w:pPr>
            <w:r>
              <w:rPr>
                <w:sz w:val="20"/>
              </w:rPr>
              <w:t xml:space="preserve">Bonuses </w:t>
            </w:r>
            <w:r>
              <w:rPr>
                <w:b w:val="false"/>
                <w:bCs w:val="false"/>
                <w:sz w:val="20"/>
              </w:rPr>
              <w:t>– The 2001 bonus process will continue and is subject to company and individual performance.</w:t>
            </w:r>
          </w:p>
          <w:p>
            <w:pPr>
              <w:pStyle w:val="BodyText"/>
              <w:numPr>
                <w:ilvl w:val="0"/>
                <w:numId w:val="2"/>
              </w:numPr>
              <w:rPr>
                <w:b w:val="false"/>
                <w:bCs w:val="false"/>
                <w:sz w:val="20"/>
              </w:rPr>
            </w:pPr>
            <w:r>
              <w:rPr>
                <w:sz w:val="20"/>
              </w:rPr>
              <w:t xml:space="preserve">Stock – </w:t>
            </w:r>
            <w:r>
              <w:rPr>
                <w:b w:val="false"/>
                <w:bCs w:val="false"/>
                <w:sz w:val="20"/>
              </w:rPr>
              <w:t>Your vested unexercised and unvested options will be converted on the same ratio as outstanding shares will be converted.  Your number of Enron options will be multiplied by .2685</w:t>
            </w:r>
            <w:r>
              <w:rPr>
                <w:sz w:val="20"/>
              </w:rPr>
              <w:t xml:space="preserve"> </w:t>
            </w:r>
            <w:r>
              <w:rPr>
                <w:b w:val="false"/>
                <w:bCs w:val="false"/>
                <w:sz w:val="20"/>
              </w:rPr>
              <w:t>to calculate the number of Dynegy options as close. At the closing of the merger, the strike price on your Enron options will be divided by the merger ratio (.2685) to determine the strike price of the new Dynegy options.</w:t>
            </w:r>
          </w:p>
          <w:p>
            <w:pPr>
              <w:pStyle w:val="BodyText"/>
              <w:numPr>
                <w:ilvl w:val="0"/>
                <w:numId w:val="2"/>
              </w:numPr>
              <w:rPr>
                <w:sz w:val="20"/>
              </w:rPr>
            </w:pPr>
            <w:r>
              <w:rPr>
                <w:sz w:val="20"/>
              </w:rPr>
              <w:t xml:space="preserve">Benefits – </w:t>
            </w:r>
            <w:r>
              <w:rPr>
                <w:b w:val="false"/>
                <w:bCs w:val="false"/>
                <w:sz w:val="20"/>
              </w:rPr>
              <w:t>There are no plans to change Enron benefit plans before the merger is complete.  Upon completion we anticipate there will likely be changes.</w:t>
            </w:r>
          </w:p>
          <w:p>
            <w:pPr>
              <w:pStyle w:val="BodyText"/>
              <w:numPr>
                <w:ilvl w:val="0"/>
                <w:numId w:val="2"/>
              </w:numPr>
              <w:rPr>
                <w:sz w:val="20"/>
              </w:rPr>
            </w:pPr>
            <w:r>
              <w:rPr>
                <w:sz w:val="20"/>
              </w:rPr>
              <w:t xml:space="preserve">PRC – </w:t>
            </w:r>
            <w:r>
              <w:rPr>
                <w:b w:val="false"/>
                <w:bCs w:val="false"/>
                <w:sz w:val="20"/>
              </w:rPr>
              <w:t xml:space="preserve">The end of the year PRC process is still being reviewed.  </w:t>
            </w:r>
          </w:p>
        </w:tc>
      </w:tr>
      <w:tr>
        <w:trPr/>
        <w:tc>
          <w:tcPr>
            <w:tcW w:w="3005" w:type="dxa"/>
            <w:tcBorders>
              <w:top w:val="single" w:sz="4" w:space="0" w:color="000000"/>
              <w:start w:val="single" w:sz="4" w:space="0" w:color="000000"/>
              <w:bottom w:val="single" w:sz="4" w:space="0" w:color="000000"/>
              <w:end w:val="single" w:sz="4" w:space="0" w:color="000000"/>
            </w:tcBorders>
          </w:tcPr>
          <w:p>
            <w:pPr>
              <w:pStyle w:val="Normal"/>
              <w:rPr>
                <w:b/>
                <w:bCs/>
                <w:sz w:val="20"/>
              </w:rPr>
            </w:pPr>
            <w:r>
              <w:rPr>
                <w:b/>
                <w:bCs/>
                <w:sz w:val="20"/>
              </w:rPr>
              <w:t>Close – Further Information</w:t>
            </w:r>
          </w:p>
        </w:tc>
        <w:tc>
          <w:tcPr>
            <w:tcW w:w="5851" w:type="dxa"/>
            <w:tcBorders>
              <w:top w:val="single" w:sz="4" w:space="0" w:color="000000"/>
              <w:start w:val="single" w:sz="4" w:space="0" w:color="000000"/>
              <w:bottom w:val="single" w:sz="4" w:space="0" w:color="000000"/>
              <w:end w:val="single" w:sz="4" w:space="0" w:color="000000"/>
            </w:tcBorders>
          </w:tcPr>
          <w:p>
            <w:pPr>
              <w:pStyle w:val="BodyText"/>
              <w:numPr>
                <w:ilvl w:val="0"/>
                <w:numId w:val="2"/>
              </w:numPr>
              <w:rPr>
                <w:sz w:val="20"/>
              </w:rPr>
            </w:pPr>
            <w:r>
              <w:rPr>
                <w:sz w:val="20"/>
              </w:rPr>
              <w:t xml:space="preserve">List of Frequently asked questions at </w:t>
            </w:r>
          </w:p>
          <w:p>
            <w:pPr>
              <w:pStyle w:val="BodyText"/>
              <w:numPr>
                <w:ilvl w:val="0"/>
                <w:numId w:val="2"/>
              </w:numPr>
              <w:rPr>
                <w:sz w:val="20"/>
              </w:rPr>
            </w:pPr>
            <w:hyperlink r:id="rId2">
              <w:r>
                <w:rPr>
                  <w:rStyle w:val="Hyperlink"/>
                  <w:sz w:val="20"/>
                </w:rPr>
                <w:t>http://home.enron.com/updates</w:t>
              </w:r>
            </w:hyperlink>
          </w:p>
          <w:p>
            <w:pPr>
              <w:pStyle w:val="BodyText"/>
              <w:numPr>
                <w:ilvl w:val="0"/>
                <w:numId w:val="2"/>
              </w:numPr>
              <w:rPr>
                <w:sz w:val="20"/>
              </w:rPr>
            </w:pPr>
            <w:r>
              <w:rPr>
                <w:sz w:val="20"/>
              </w:rPr>
              <w:t xml:space="preserve">Submit questions to </w:t>
            </w:r>
            <w:hyperlink r:id="rId3">
              <w:r>
                <w:rPr>
                  <w:rStyle w:val="Hyperlink"/>
                  <w:sz w:val="20"/>
                </w:rPr>
                <w:t>questions@enron.com</w:t>
              </w:r>
            </w:hyperlink>
          </w:p>
        </w:tc>
      </w:tr>
      <w:tr>
        <w:trPr/>
        <w:tc>
          <w:tcPr>
            <w:tcW w:w="3005" w:type="dxa"/>
            <w:tcBorders>
              <w:top w:val="single" w:sz="4" w:space="0" w:color="000000"/>
              <w:start w:val="single" w:sz="4" w:space="0" w:color="000000"/>
              <w:bottom w:val="single" w:sz="4" w:space="0" w:color="000000"/>
              <w:end w:val="single" w:sz="4" w:space="0" w:color="000000"/>
            </w:tcBorders>
          </w:tcPr>
          <w:p>
            <w:pPr>
              <w:pStyle w:val="Normal"/>
              <w:rPr>
                <w:b/>
                <w:bCs/>
                <w:sz w:val="20"/>
              </w:rPr>
            </w:pPr>
            <w:r>
              <w:rPr>
                <w:b/>
                <w:bCs/>
                <w:sz w:val="20"/>
              </w:rPr>
              <w:t xml:space="preserve">Media </w:t>
            </w:r>
          </w:p>
        </w:tc>
        <w:tc>
          <w:tcPr>
            <w:tcW w:w="5851" w:type="dxa"/>
            <w:tcBorders>
              <w:top w:val="single" w:sz="4" w:space="0" w:color="000000"/>
              <w:start w:val="single" w:sz="4" w:space="0" w:color="000000"/>
              <w:bottom w:val="single" w:sz="4" w:space="0" w:color="000000"/>
              <w:end w:val="single" w:sz="4" w:space="0" w:color="000000"/>
            </w:tcBorders>
          </w:tcPr>
          <w:p>
            <w:pPr>
              <w:pStyle w:val="BodyText"/>
              <w:numPr>
                <w:ilvl w:val="0"/>
                <w:numId w:val="2"/>
              </w:numPr>
              <w:rPr>
                <w:b w:val="false"/>
                <w:bCs w:val="false"/>
                <w:sz w:val="20"/>
              </w:rPr>
            </w:pPr>
            <w:r>
              <w:rPr>
                <w:sz w:val="20"/>
              </w:rPr>
              <w:t xml:space="preserve">Outside Media– </w:t>
            </w:r>
            <w:r>
              <w:rPr>
                <w:b w:val="false"/>
                <w:bCs w:val="false"/>
                <w:sz w:val="20"/>
              </w:rPr>
              <w:t>It is Enron policy to direct all media inquiries to Public Relations.  Contact Mark Palmer at 713-853-4738 or Karen Denne at 713-853-9757.</w:t>
            </w:r>
          </w:p>
          <w:p>
            <w:pPr>
              <w:pStyle w:val="BodyText"/>
              <w:numPr>
                <w:ilvl w:val="0"/>
                <w:numId w:val="2"/>
              </w:numPr>
              <w:rPr>
                <w:sz w:val="20"/>
              </w:rPr>
            </w:pPr>
            <w:r>
              <w:rPr>
                <w:sz w:val="20"/>
              </w:rPr>
              <w:t xml:space="preserve">Internet Postings – </w:t>
            </w:r>
            <w:r>
              <w:rPr>
                <w:b w:val="false"/>
                <w:bCs w:val="false"/>
                <w:sz w:val="20"/>
              </w:rPr>
              <w:t>It is Enron policy for employees to not post messages on Internet posting boards</w:t>
            </w:r>
          </w:p>
        </w:tc>
      </w:tr>
      <w:tr>
        <w:trPr/>
        <w:tc>
          <w:tcPr>
            <w:tcW w:w="3005" w:type="dxa"/>
            <w:tcBorders>
              <w:top w:val="single" w:sz="4" w:space="0" w:color="000000"/>
              <w:start w:val="single" w:sz="4" w:space="0" w:color="000000"/>
              <w:bottom w:val="single" w:sz="4" w:space="0" w:color="000000"/>
              <w:end w:val="single" w:sz="4" w:space="0" w:color="000000"/>
            </w:tcBorders>
          </w:tcPr>
          <w:p>
            <w:pPr>
              <w:pStyle w:val="Normal"/>
              <w:rPr>
                <w:b/>
                <w:bCs/>
                <w:sz w:val="20"/>
              </w:rPr>
            </w:pPr>
            <w:r>
              <w:rPr>
                <w:b/>
                <w:bCs/>
                <w:sz w:val="20"/>
              </w:rPr>
              <w:t>Closing Comments</w:t>
            </w:r>
          </w:p>
        </w:tc>
        <w:tc>
          <w:tcPr>
            <w:tcW w:w="5851" w:type="dxa"/>
            <w:tcBorders>
              <w:top w:val="single" w:sz="4" w:space="0" w:color="000000"/>
              <w:start w:val="single" w:sz="4" w:space="0" w:color="000000"/>
              <w:bottom w:val="single" w:sz="4" w:space="0" w:color="000000"/>
              <w:end w:val="single" w:sz="4" w:space="0" w:color="000000"/>
            </w:tcBorders>
          </w:tcPr>
          <w:p>
            <w:pPr>
              <w:pStyle w:val="BodyText"/>
              <w:numPr>
                <w:ilvl w:val="0"/>
                <w:numId w:val="2"/>
              </w:numPr>
              <w:rPr>
                <w:b w:val="false"/>
                <w:bCs w:val="false"/>
                <w:sz w:val="20"/>
              </w:rPr>
            </w:pPr>
            <w:r>
              <w:rPr>
                <w:b w:val="false"/>
                <w:bCs w:val="false"/>
                <w:sz w:val="20"/>
              </w:rPr>
              <w:t xml:space="preserve">This is a great deal for both companies but remember that between now and deal closure we will continue to operate as independent companies.  </w:t>
            </w:r>
          </w:p>
        </w:tc>
      </w:tr>
    </w:tbl>
    <w:p>
      <w:pPr>
        <w:pStyle w:val="Heading1"/>
        <w:ind w:hanging="0" w:start="0"/>
        <w:rPr>
          <w:sz w:val="24"/>
        </w:rPr>
      </w:pPr>
      <w:r>
        <w:rPr>
          <w:sz w:val="24"/>
        </w:rPr>
      </w:r>
    </w:p>
    <w:p>
      <w:pPr>
        <w:pStyle w:val="Heading1"/>
        <w:ind w:hanging="0" w:start="0"/>
        <w:rPr>
          <w:sz w:val="24"/>
        </w:rPr>
      </w:pPr>
      <w:r>
        <w:rPr>
          <w:sz w:val="24"/>
        </w:rPr>
        <w:t>This document is private and confidential – not for distribution</w:t>
      </w:r>
    </w:p>
    <w:p>
      <w:pPr>
        <w:pStyle w:val="Normal"/>
        <w:rPr>
          <w:sz w:val="24"/>
        </w:rPr>
      </w:pPr>
      <w:r>
        <w:rPr>
          <w:sz w:val="24"/>
        </w:rPr>
      </w:r>
    </w:p>
    <w:p>
      <w:pPr>
        <w:pStyle w:val="Normal"/>
        <w:rPr/>
      </w:pPr>
      <w:r>
        <w:rPr/>
      </w:r>
    </w:p>
    <w:p>
      <w:pPr>
        <w:pStyle w:val="HTMLPreformatted"/>
        <w:rPr/>
      </w:pPr>
      <w:r>
        <w:rPr>
          <w:rFonts w:cs="Times New Roman" w:ascii="Times New Roman" w:hAnsi="Times New Roman"/>
          <w:b/>
          <w:bCs/>
          <w:sz w:val="18"/>
        </w:rPr>
        <w:t>Investors and security holders are urged to carefully read the joint proxy statement/prospectus regarding the proposed transactions when it becomes available, because it will contain important information</w:t>
      </w:r>
      <w:r>
        <w:rPr>
          <w:rFonts w:cs="Times New Roman" w:ascii="Times New Roman" w:hAnsi="Times New Roman"/>
          <w:sz w:val="18"/>
        </w:rPr>
        <w:t>.  Investors and security holders may obtain a free copy of the joint proxy statement/prospectus (when it is available) and other documents containing information about Dynegy and Enron, without charge, at the SEC’s web site at www.sec.gov.  Copies of the joint proxy statement/prospectus and the SEC filings that will be incorporated by reference in the joint proxy statement/prospectus may also be obtained for free by directing a request to either:  Investor Relations, Dynegy Inc., 1000 Louisiana, Suite 5800, Houston, TX 77002, Phone:  (713) 507-6400, Fax:  (713) 507-6808; or Investor Relations, Enron Corp., 1400 Smith Street, Houston, TX 77002, Phone:  (713) 853-3956, Fax:  (713) 646-3002.</w:t>
      </w:r>
    </w:p>
    <w:p>
      <w:pPr>
        <w:pStyle w:val="HTMLPreformatted"/>
        <w:rPr>
          <w:rFonts w:ascii="Times New Roman" w:hAnsi="Times New Roman" w:cs="Times New Roman"/>
          <w:sz w:val="18"/>
        </w:rPr>
      </w:pPr>
      <w:r>
        <w:rPr>
          <w:rFonts w:cs="Times New Roman" w:ascii="Times New Roman" w:hAnsi="Times New Roman"/>
          <w:sz w:val="18"/>
        </w:rPr>
      </w:r>
    </w:p>
    <w:p>
      <w:pPr>
        <w:pStyle w:val="HTMLPreformatted"/>
        <w:rPr>
          <w:rFonts w:ascii="Times New Roman" w:hAnsi="Times New Roman" w:cs="Times New Roman"/>
          <w:sz w:val="18"/>
        </w:rPr>
      </w:pPr>
      <w:r>
        <w:rPr>
          <w:rFonts w:cs="Times New Roman" w:ascii="Times New Roman" w:hAnsi="Times New Roman"/>
          <w:sz w:val="18"/>
        </w:rPr>
        <w:t>In addition, the identity of the persons who, under SEC rules, may be considered “participants in the solicitation” of Dynegy and Enron shareholders in connection with the proposed transactions, and any description of their direct or indirect interests, by security holdings or otherwise, are available in an SEC filing under Schedule 14A made by each of Dynegy and Enron.</w:t>
      </w:r>
    </w:p>
    <w:p>
      <w:pPr>
        <w:pStyle w:val="VEBodyText"/>
        <w:rPr>
          <w:rFonts w:ascii="Times New Roman" w:hAnsi="Times New Roman" w:cs="Times New Roman"/>
          <w:sz w:val="18"/>
        </w:rPr>
      </w:pPr>
      <w:r>
        <w:rPr>
          <w:rFonts w:cs="Times New Roman"/>
          <w:sz w:val="18"/>
        </w:rPr>
      </w:r>
    </w:p>
    <w:p>
      <w:pPr>
        <w:pStyle w:val="Normal"/>
        <w:rPr>
          <w:rFonts w:cs="Times New Roman"/>
          <w:sz w:val="18"/>
        </w:rPr>
      </w:pPr>
      <w:r>
        <w:rPr>
          <w:rFonts w:cs="Times New Roman"/>
          <w:sz w:val="18"/>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Courier New">
    <w:charset w:val="00" w:characterSet="windows-1252"/>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lvl w:ilvl="1">
      <w:start w:val="1"/>
      <w:numFmt w:val="bullet"/>
      <w:lvlText w:val="o"/>
      <w:lvlJc w:val="start"/>
      <w:pPr>
        <w:tabs>
          <w:tab w:val="num" w:pos="1080"/>
        </w:tabs>
        <w:ind w:start="1080" w:hanging="360"/>
      </w:pPr>
      <w:rPr>
        <w:rFonts w:ascii="Courier New" w:hAnsi="Courier New" w:cs="Courier New" w:hint="default"/>
      </w:rPr>
    </w:lvl>
    <w:lvl w:ilvl="2">
      <w:start w:val="1"/>
      <w:numFmt w:val="bullet"/>
      <w:lvlText w:val=""/>
      <w:lvlJc w:val="start"/>
      <w:pPr>
        <w:tabs>
          <w:tab w:val="num" w:pos="1800"/>
        </w:tabs>
        <w:ind w:start="1800" w:hanging="360"/>
      </w:pPr>
      <w:rPr>
        <w:rFonts w:ascii="Wingdings" w:hAnsi="Wingdings" w:cs="Wingdings" w:hint="default"/>
      </w:rPr>
    </w:lvl>
    <w:lvl w:ilvl="3">
      <w:start w:val="1"/>
      <w:numFmt w:val="bullet"/>
      <w:lvlText w:val=""/>
      <w:lvlJc w:val="start"/>
      <w:pPr>
        <w:tabs>
          <w:tab w:val="num" w:pos="2520"/>
        </w:tabs>
        <w:ind w:start="2520" w:hanging="360"/>
      </w:pPr>
      <w:rPr>
        <w:rFonts w:ascii="Symbol" w:hAnsi="Symbol" w:cs="Symbol" w:hint="default"/>
      </w:rPr>
    </w:lvl>
    <w:lvl w:ilvl="4">
      <w:start w:val="1"/>
      <w:numFmt w:val="bullet"/>
      <w:lvlText w:val="o"/>
      <w:lvlJc w:val="start"/>
      <w:pPr>
        <w:tabs>
          <w:tab w:val="num" w:pos="3240"/>
        </w:tabs>
        <w:ind w:start="3240" w:hanging="360"/>
      </w:pPr>
      <w:rPr>
        <w:rFonts w:ascii="Courier New" w:hAnsi="Courier New" w:cs="Courier New" w:hint="default"/>
      </w:rPr>
    </w:lvl>
    <w:lvl w:ilvl="5">
      <w:start w:val="1"/>
      <w:numFmt w:val="bullet"/>
      <w:lvlText w:val=""/>
      <w:lvlJc w:val="start"/>
      <w:pPr>
        <w:tabs>
          <w:tab w:val="num" w:pos="3960"/>
        </w:tabs>
        <w:ind w:start="3960" w:hanging="360"/>
      </w:pPr>
      <w:rPr>
        <w:rFonts w:ascii="Wingdings" w:hAnsi="Wingdings" w:cs="Wingdings" w:hint="default"/>
      </w:rPr>
    </w:lvl>
    <w:lvl w:ilvl="6">
      <w:start w:val="1"/>
      <w:numFmt w:val="bullet"/>
      <w:lvlText w:val=""/>
      <w:lvlJc w:val="start"/>
      <w:pPr>
        <w:tabs>
          <w:tab w:val="num" w:pos="4680"/>
        </w:tabs>
        <w:ind w:start="4680" w:hanging="360"/>
      </w:pPr>
      <w:rPr>
        <w:rFonts w:ascii="Symbol" w:hAnsi="Symbol" w:cs="Symbol" w:hint="default"/>
      </w:rPr>
    </w:lvl>
    <w:lvl w:ilvl="7">
      <w:start w:val="1"/>
      <w:numFmt w:val="bullet"/>
      <w:lvlText w:val="o"/>
      <w:lvlJc w:val="start"/>
      <w:pPr>
        <w:tabs>
          <w:tab w:val="num" w:pos="5400"/>
        </w:tabs>
        <w:ind w:start="5400" w:hanging="360"/>
      </w:pPr>
      <w:rPr>
        <w:rFonts w:ascii="Courier New" w:hAnsi="Courier New" w:cs="Courier New" w:hint="default"/>
      </w:rPr>
    </w:lvl>
    <w:lvl w:ilvl="8">
      <w:start w:val="1"/>
      <w:numFmt w:val="bullet"/>
      <w:lvlText w:val=""/>
      <w:lvlJc w:val="start"/>
      <w:pPr>
        <w:tabs>
          <w:tab w:val="num" w:pos="6120"/>
        </w:tabs>
        <w:ind w:start="6120" w:hanging="360"/>
      </w:pPr>
      <w:rPr>
        <w:rFonts w:ascii="Wingdings" w:hAnsi="Wingdings" w:cs="Wingdings"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abstractNum w:abstractNumId="4">
    <w:lvl w:ilvl="0">
      <w:start w:val="1"/>
      <w:numFmt w:val="bullet"/>
      <w:lvlText w:val=""/>
      <w:lvlJc w:val="start"/>
      <w:pPr>
        <w:tabs>
          <w:tab w:val="num" w:pos="780"/>
        </w:tabs>
        <w:ind w:start="780" w:hanging="360"/>
      </w:pPr>
      <w:rPr>
        <w:rFonts w:ascii="Symbol" w:hAnsi="Symbol" w:cs="Symbol"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sz w:val="28"/>
    </w:rPr>
  </w:style>
  <w:style w:type="paragraph" w:styleId="Heading2">
    <w:name w:val="heading 2"/>
    <w:basedOn w:val="Normal"/>
    <w:next w:val="Normal"/>
    <w:qFormat/>
    <w:pPr>
      <w:keepNext w:val="true"/>
      <w:numPr>
        <w:ilvl w:val="1"/>
        <w:numId w:val="1"/>
      </w:numPr>
      <w:outlineLvl w:val="1"/>
    </w:pPr>
    <w:rPr>
      <w:b/>
      <w:bCs/>
      <w:sz w:val="22"/>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jc w:val="center"/>
    </w:pPr>
    <w:rPr>
      <w:b/>
      <w:bCs/>
    </w:rPr>
  </w:style>
  <w:style w:type="paragraph" w:styleId="BodyText">
    <w:name w:val="Body Text"/>
    <w:basedOn w:val="Normal"/>
    <w:pPr/>
    <w:rPr>
      <w:b/>
      <w:bC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rPr>
      <w:b/>
      <w:bC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HTMLPreformatted">
    <w:name w:val="HTML Preformatted"/>
    <w:basedOn w:val="Normal"/>
    <w:qFormat/>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eastAsia="Courier New" w:cs="Courier New"/>
      <w:sz w:val="20"/>
      <w:szCs w:val="20"/>
    </w:rPr>
  </w:style>
  <w:style w:type="paragraph" w:styleId="VEBodyText">
    <w:name w:val="VE Body Text"/>
    <w:basedOn w:val="Normal"/>
    <w:qFormat/>
    <w:pPr>
      <w:spacing w:before="0" w:after="240"/>
      <w:jc w:val="both"/>
    </w:pPr>
    <w:rPr>
      <w:rFonts w:cs="Arial"/>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home.enron.com/updates" TargetMode="External"/><Relationship Id="rId3" Type="http://schemas.openxmlformats.org/officeDocument/2006/relationships/hyperlink" Target="mailto:questions@enron.com"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2001-11-09T12:22:00Z</dcterms:created>
  <dc:creator>Tana Cashion</dc:creator>
  <dc:description/>
  <dc:language>en-CA</dc:language>
  <cp:lastModifiedBy>kdenne</cp:lastModifiedBy>
  <cp:lastPrinted>2001-11-09T07:53:00Z</cp:lastPrinted>
  <dcterms:modified xsi:type="dcterms:W3CDTF">2001-11-09T17:50:00Z</dcterms:modified>
  <cp:revision>6</cp:revision>
  <dc:subject/>
  <dc:title>Talking Points – 11-8-01</dc:title>
</cp:coreProperties>
</file>